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E44FE">
      <w:pPr>
        <w:spacing w:after="0"/>
        <w:jc w:val="both"/>
        <w:rPr>
          <w:rFonts w:ascii="Times New Roman" w:hAnsi="Times New Roman" w:eastAsia="Arial" w:cs="Times New Roman"/>
          <w:sz w:val="24"/>
          <w:szCs w:val="24"/>
        </w:rPr>
      </w:pPr>
      <w:bookmarkStart w:id="8" w:name="_GoBack"/>
      <w:bookmarkEnd w:id="8"/>
    </w:p>
    <w:p w14:paraId="36161FC3">
      <w:pPr>
        <w:spacing w:after="0"/>
        <w:jc w:val="center"/>
        <w:rPr>
          <w:rFonts w:ascii="Times New Roman" w:hAnsi="Times New Roman" w:eastAsia="Arial" w:cs="Times New Roman"/>
          <w:sz w:val="48"/>
          <w:szCs w:val="48"/>
        </w:rPr>
      </w:pPr>
    </w:p>
    <w:p w14:paraId="24AA8DE7">
      <w:pPr>
        <w:spacing w:after="0"/>
        <w:jc w:val="center"/>
        <w:rPr>
          <w:rFonts w:ascii="Times New Roman" w:hAnsi="Times New Roman" w:eastAsia="Arial" w:cs="Times New Roman"/>
          <w:sz w:val="48"/>
          <w:szCs w:val="48"/>
        </w:rPr>
      </w:pPr>
    </w:p>
    <w:p w14:paraId="6C0E6B6D">
      <w:pPr>
        <w:spacing w:after="0"/>
        <w:jc w:val="center"/>
        <w:rPr>
          <w:rFonts w:ascii="Times New Roman" w:hAnsi="Times New Roman" w:eastAsia="Arial" w:cs="Times New Roman"/>
          <w:sz w:val="48"/>
          <w:szCs w:val="48"/>
        </w:rPr>
      </w:pPr>
    </w:p>
    <w:p w14:paraId="1CDFDAF8">
      <w:pPr>
        <w:spacing w:after="0"/>
        <w:jc w:val="center"/>
        <w:rPr>
          <w:rFonts w:ascii="Times New Roman" w:hAnsi="Times New Roman" w:eastAsia="Arial" w:cs="Times New Roman"/>
          <w:sz w:val="48"/>
          <w:szCs w:val="48"/>
        </w:rPr>
      </w:pPr>
    </w:p>
    <w:p w14:paraId="105C595E">
      <w:pPr>
        <w:spacing w:after="0"/>
        <w:jc w:val="center"/>
        <w:rPr>
          <w:rFonts w:ascii="Times New Roman" w:hAnsi="Times New Roman" w:eastAsia="Arial" w:cs="Times New Roman"/>
          <w:sz w:val="48"/>
          <w:szCs w:val="48"/>
        </w:rPr>
      </w:pPr>
      <w:r>
        <w:rPr>
          <w:rFonts w:ascii="Times New Roman" w:hAnsi="Times New Roman" w:eastAsia="Arial" w:cs="Times New Roman"/>
          <w:sz w:val="48"/>
          <w:szCs w:val="48"/>
        </w:rPr>
        <w:t xml:space="preserve">PRAVILNIK </w:t>
      </w:r>
    </w:p>
    <w:p w14:paraId="4299BCC0">
      <w:pPr>
        <w:spacing w:after="0"/>
        <w:jc w:val="center"/>
        <w:rPr>
          <w:rFonts w:ascii="Times New Roman" w:hAnsi="Times New Roman" w:eastAsia="Arial" w:cs="Times New Roman"/>
          <w:sz w:val="48"/>
          <w:szCs w:val="48"/>
        </w:rPr>
      </w:pPr>
      <w:r>
        <w:rPr>
          <w:rFonts w:ascii="Times New Roman" w:hAnsi="Times New Roman" w:eastAsia="Arial" w:cs="Times New Roman"/>
          <w:sz w:val="48"/>
          <w:szCs w:val="48"/>
        </w:rPr>
        <w:t>O PROVEDBI POSTUPAKA JEDNOSTAVNE NABAVE</w:t>
      </w:r>
    </w:p>
    <w:p w14:paraId="1EEAF302">
      <w:pPr>
        <w:spacing w:after="0"/>
        <w:jc w:val="both"/>
        <w:rPr>
          <w:rFonts w:ascii="Times New Roman" w:hAnsi="Times New Roman" w:eastAsia="Arial" w:cs="Times New Roman"/>
          <w:b/>
          <w:bCs/>
          <w:sz w:val="28"/>
          <w:szCs w:val="28"/>
        </w:rPr>
      </w:pPr>
    </w:p>
    <w:p w14:paraId="1B145D85">
      <w:pPr>
        <w:spacing w:after="0"/>
        <w:jc w:val="both"/>
        <w:rPr>
          <w:rFonts w:ascii="Times New Roman" w:hAnsi="Times New Roman" w:eastAsia="Arial" w:cs="Times New Roman"/>
          <w:b/>
          <w:bCs/>
          <w:sz w:val="28"/>
          <w:szCs w:val="28"/>
        </w:rPr>
      </w:pPr>
    </w:p>
    <w:p w14:paraId="77547162">
      <w:pPr>
        <w:spacing w:after="0"/>
        <w:jc w:val="both"/>
        <w:rPr>
          <w:rFonts w:ascii="Times New Roman" w:hAnsi="Times New Roman" w:eastAsia="Arial" w:cs="Times New Roman"/>
          <w:b/>
          <w:bCs/>
          <w:sz w:val="28"/>
          <w:szCs w:val="28"/>
        </w:rPr>
      </w:pPr>
    </w:p>
    <w:p w14:paraId="7AB37DB8">
      <w:pPr>
        <w:spacing w:after="0"/>
        <w:jc w:val="both"/>
        <w:rPr>
          <w:rFonts w:ascii="Times New Roman" w:hAnsi="Times New Roman" w:eastAsia="Arial" w:cs="Times New Roman"/>
          <w:b/>
          <w:bCs/>
          <w:sz w:val="28"/>
          <w:szCs w:val="28"/>
        </w:rPr>
      </w:pPr>
    </w:p>
    <w:p w14:paraId="1D6F37B1">
      <w:pPr>
        <w:spacing w:after="0"/>
        <w:jc w:val="both"/>
        <w:rPr>
          <w:rFonts w:ascii="Times New Roman" w:hAnsi="Times New Roman" w:eastAsia="Arial" w:cs="Times New Roman"/>
          <w:b/>
          <w:bCs/>
          <w:sz w:val="28"/>
          <w:szCs w:val="28"/>
        </w:rPr>
      </w:pPr>
    </w:p>
    <w:p w14:paraId="07179EC7">
      <w:pPr>
        <w:spacing w:after="0"/>
        <w:jc w:val="both"/>
        <w:rPr>
          <w:rFonts w:ascii="Times New Roman" w:hAnsi="Times New Roman" w:eastAsia="Arial" w:cs="Times New Roman"/>
          <w:b/>
          <w:bCs/>
          <w:sz w:val="28"/>
          <w:szCs w:val="28"/>
        </w:rPr>
      </w:pPr>
    </w:p>
    <w:p w14:paraId="2D496DB4">
      <w:pPr>
        <w:spacing w:after="0"/>
        <w:jc w:val="both"/>
        <w:rPr>
          <w:rFonts w:ascii="Times New Roman" w:hAnsi="Times New Roman" w:eastAsia="Arial" w:cs="Times New Roman"/>
          <w:b/>
          <w:bCs/>
          <w:sz w:val="28"/>
          <w:szCs w:val="28"/>
        </w:rPr>
      </w:pPr>
    </w:p>
    <w:p w14:paraId="78696BD4">
      <w:pPr>
        <w:spacing w:after="0"/>
        <w:jc w:val="both"/>
        <w:rPr>
          <w:rFonts w:ascii="Times New Roman" w:hAnsi="Times New Roman" w:eastAsia="Arial" w:cs="Times New Roman"/>
          <w:b/>
          <w:bCs/>
          <w:sz w:val="28"/>
          <w:szCs w:val="28"/>
        </w:rPr>
      </w:pPr>
    </w:p>
    <w:p w14:paraId="50EDE606">
      <w:pPr>
        <w:spacing w:after="0"/>
        <w:jc w:val="both"/>
        <w:rPr>
          <w:rFonts w:ascii="Times New Roman" w:hAnsi="Times New Roman" w:eastAsia="Arial" w:cs="Times New Roman"/>
          <w:b/>
          <w:bCs/>
          <w:sz w:val="28"/>
          <w:szCs w:val="28"/>
        </w:rPr>
      </w:pPr>
    </w:p>
    <w:p w14:paraId="434BCEA8">
      <w:pPr>
        <w:spacing w:after="0"/>
        <w:jc w:val="both"/>
        <w:rPr>
          <w:rFonts w:ascii="Times New Roman" w:hAnsi="Times New Roman" w:eastAsia="Arial" w:cs="Times New Roman"/>
          <w:b/>
          <w:bCs/>
          <w:sz w:val="28"/>
          <w:szCs w:val="28"/>
        </w:rPr>
      </w:pPr>
    </w:p>
    <w:p w14:paraId="1E93D0A2">
      <w:pPr>
        <w:spacing w:after="0"/>
        <w:jc w:val="both"/>
        <w:rPr>
          <w:rFonts w:ascii="Times New Roman" w:hAnsi="Times New Roman" w:eastAsia="Arial" w:cs="Times New Roman"/>
          <w:b/>
          <w:bCs/>
          <w:sz w:val="28"/>
          <w:szCs w:val="28"/>
        </w:rPr>
      </w:pPr>
    </w:p>
    <w:p w14:paraId="474E09AC">
      <w:pPr>
        <w:spacing w:after="0"/>
        <w:jc w:val="both"/>
        <w:rPr>
          <w:rFonts w:ascii="Times New Roman" w:hAnsi="Times New Roman" w:eastAsia="Arial" w:cs="Times New Roman"/>
          <w:b/>
          <w:bCs/>
          <w:sz w:val="28"/>
          <w:szCs w:val="28"/>
        </w:rPr>
      </w:pPr>
    </w:p>
    <w:p w14:paraId="0141D00E">
      <w:pPr>
        <w:spacing w:after="0"/>
        <w:jc w:val="both"/>
        <w:rPr>
          <w:rFonts w:ascii="Times New Roman" w:hAnsi="Times New Roman" w:eastAsia="Arial" w:cs="Times New Roman"/>
          <w:b/>
          <w:bCs/>
          <w:sz w:val="28"/>
          <w:szCs w:val="28"/>
        </w:rPr>
      </w:pPr>
    </w:p>
    <w:p w14:paraId="668DC065">
      <w:pPr>
        <w:spacing w:after="0"/>
        <w:jc w:val="both"/>
        <w:rPr>
          <w:rFonts w:ascii="Times New Roman" w:hAnsi="Times New Roman" w:eastAsia="Arial" w:cs="Times New Roman"/>
          <w:b/>
          <w:bCs/>
          <w:sz w:val="28"/>
          <w:szCs w:val="28"/>
        </w:rPr>
      </w:pPr>
    </w:p>
    <w:p w14:paraId="5904DB62">
      <w:pPr>
        <w:spacing w:after="0"/>
        <w:jc w:val="both"/>
        <w:rPr>
          <w:rFonts w:ascii="Times New Roman" w:hAnsi="Times New Roman" w:eastAsia="Arial" w:cs="Times New Roman"/>
          <w:sz w:val="24"/>
          <w:szCs w:val="24"/>
        </w:rPr>
      </w:pPr>
    </w:p>
    <w:p w14:paraId="002F5226">
      <w:pPr>
        <w:spacing w:after="0"/>
        <w:jc w:val="both"/>
        <w:rPr>
          <w:rFonts w:ascii="Times New Roman" w:hAnsi="Times New Roman" w:eastAsia="Arial" w:cs="Times New Roman"/>
          <w:sz w:val="24"/>
          <w:szCs w:val="24"/>
        </w:rPr>
      </w:pPr>
    </w:p>
    <w:p w14:paraId="6F478563">
      <w:pPr>
        <w:spacing w:after="0"/>
        <w:jc w:val="both"/>
        <w:rPr>
          <w:rFonts w:ascii="Times New Roman" w:hAnsi="Times New Roman" w:eastAsia="Arial" w:cs="Times New Roman"/>
          <w:sz w:val="24"/>
          <w:szCs w:val="24"/>
        </w:rPr>
      </w:pPr>
    </w:p>
    <w:p w14:paraId="7A8C2E20">
      <w:pPr>
        <w:spacing w:after="0"/>
        <w:jc w:val="both"/>
        <w:rPr>
          <w:rFonts w:ascii="Times New Roman" w:hAnsi="Times New Roman" w:eastAsia="Arial" w:cs="Times New Roman"/>
          <w:sz w:val="24"/>
          <w:szCs w:val="24"/>
        </w:rPr>
      </w:pPr>
    </w:p>
    <w:p w14:paraId="1AE5A9B2">
      <w:pPr>
        <w:spacing w:after="0"/>
        <w:jc w:val="both"/>
        <w:rPr>
          <w:rFonts w:ascii="Times New Roman" w:hAnsi="Times New Roman" w:eastAsia="Arial" w:cs="Times New Roman"/>
          <w:sz w:val="24"/>
          <w:szCs w:val="24"/>
        </w:rPr>
      </w:pPr>
    </w:p>
    <w:p w14:paraId="16A22621">
      <w:pPr>
        <w:spacing w:after="0"/>
        <w:jc w:val="both"/>
        <w:rPr>
          <w:rFonts w:ascii="Times New Roman" w:hAnsi="Times New Roman" w:eastAsia="Arial" w:cs="Times New Roman"/>
          <w:sz w:val="24"/>
          <w:szCs w:val="24"/>
        </w:rPr>
      </w:pPr>
    </w:p>
    <w:p w14:paraId="64BF69C3">
      <w:pPr>
        <w:spacing w:after="0"/>
        <w:jc w:val="both"/>
        <w:rPr>
          <w:rFonts w:ascii="Times New Roman" w:hAnsi="Times New Roman" w:eastAsia="Arial" w:cs="Times New Roman"/>
          <w:sz w:val="24"/>
          <w:szCs w:val="24"/>
        </w:rPr>
      </w:pPr>
    </w:p>
    <w:p w14:paraId="6A6C334A">
      <w:pPr>
        <w:spacing w:after="0"/>
        <w:jc w:val="both"/>
        <w:rPr>
          <w:rFonts w:ascii="Times New Roman" w:hAnsi="Times New Roman" w:eastAsia="Arial" w:cs="Times New Roman"/>
          <w:sz w:val="24"/>
          <w:szCs w:val="24"/>
        </w:rPr>
      </w:pPr>
    </w:p>
    <w:p w14:paraId="00D32654">
      <w:pPr>
        <w:spacing w:after="0"/>
        <w:jc w:val="both"/>
        <w:rPr>
          <w:rFonts w:ascii="Times New Roman" w:hAnsi="Times New Roman" w:eastAsia="Arial" w:cs="Times New Roman"/>
          <w:sz w:val="24"/>
          <w:szCs w:val="24"/>
        </w:rPr>
      </w:pPr>
    </w:p>
    <w:p w14:paraId="15C78BB1">
      <w:pPr>
        <w:spacing w:after="0"/>
        <w:jc w:val="both"/>
        <w:rPr>
          <w:rFonts w:ascii="Times New Roman" w:hAnsi="Times New Roman" w:eastAsia="Arial" w:cs="Times New Roman"/>
          <w:sz w:val="24"/>
          <w:szCs w:val="24"/>
        </w:rPr>
      </w:pPr>
    </w:p>
    <w:p w14:paraId="46809CC8">
      <w:pPr>
        <w:spacing w:after="0"/>
        <w:jc w:val="both"/>
        <w:rPr>
          <w:rFonts w:ascii="Times New Roman" w:hAnsi="Times New Roman" w:eastAsia="Arial" w:cs="Times New Roman"/>
          <w:sz w:val="24"/>
          <w:szCs w:val="24"/>
        </w:rPr>
      </w:pPr>
    </w:p>
    <w:p w14:paraId="2A522B5D">
      <w:pPr>
        <w:spacing w:after="0"/>
        <w:jc w:val="both"/>
        <w:rPr>
          <w:rFonts w:ascii="Times New Roman" w:hAnsi="Times New Roman" w:eastAsia="Arial" w:cs="Times New Roman"/>
          <w:sz w:val="24"/>
          <w:szCs w:val="24"/>
        </w:rPr>
      </w:pPr>
      <w:r>
        <w:rPr>
          <w:rFonts w:ascii="Times New Roman" w:hAnsi="Times New Roman" w:eastAsia="Arial" w:cs="Times New Roman"/>
          <w:sz w:val="24"/>
          <w:szCs w:val="24"/>
        </w:rPr>
        <w:t>Na temelju članka 15. stavka 2. Zakona o javnoj nabavi („Narodne novine'' broj: 120/16, 114/22, 48/26.) i članka 29. Statuta Osnovne škole Julija Klovića, Školski odbor na svojoj sjednici održanoj dana 1.10.2026. godine, donosi:</w:t>
      </w:r>
    </w:p>
    <w:p w14:paraId="6B9797D6">
      <w:pPr>
        <w:spacing w:after="0"/>
        <w:jc w:val="both"/>
        <w:rPr>
          <w:rFonts w:ascii="Times New Roman" w:hAnsi="Times New Roman" w:cs="Times New Roman"/>
          <w:sz w:val="24"/>
          <w:szCs w:val="24"/>
        </w:rPr>
      </w:pPr>
    </w:p>
    <w:p w14:paraId="6602CEDA">
      <w:pPr>
        <w:pStyle w:val="2"/>
        <w:spacing w:before="0"/>
        <w:jc w:val="center"/>
        <w:rPr>
          <w:rFonts w:ascii="Times New Roman" w:hAnsi="Times New Roman"/>
          <w:sz w:val="24"/>
          <w:szCs w:val="24"/>
        </w:rPr>
      </w:pPr>
      <w:r>
        <w:rPr>
          <w:rFonts w:ascii="Times New Roman" w:hAnsi="Times New Roman" w:eastAsia="Arial"/>
          <w:sz w:val="24"/>
          <w:szCs w:val="24"/>
        </w:rPr>
        <w:t>PRAVILNIK</w:t>
      </w:r>
    </w:p>
    <w:p w14:paraId="14C674DA">
      <w:pPr>
        <w:spacing w:after="0"/>
        <w:jc w:val="center"/>
        <w:rPr>
          <w:rFonts w:ascii="Times New Roman" w:hAnsi="Times New Roman" w:cs="Times New Roman"/>
          <w:sz w:val="24"/>
          <w:szCs w:val="24"/>
        </w:rPr>
      </w:pPr>
      <w:r>
        <w:rPr>
          <w:rFonts w:ascii="Times New Roman" w:hAnsi="Times New Roman" w:eastAsia="Arial" w:cs="Times New Roman"/>
          <w:sz w:val="24"/>
          <w:szCs w:val="24"/>
        </w:rPr>
        <w:t>o provedbi postupaka jednostavne nabave</w:t>
      </w:r>
    </w:p>
    <w:p w14:paraId="1C7D7D5B">
      <w:pPr>
        <w:spacing w:after="0"/>
        <w:jc w:val="both"/>
        <w:rPr>
          <w:rFonts w:ascii="Times New Roman" w:hAnsi="Times New Roman" w:cs="Times New Roman"/>
          <w:sz w:val="24"/>
          <w:szCs w:val="24"/>
        </w:rPr>
      </w:pPr>
    </w:p>
    <w:p w14:paraId="3546D7BD">
      <w:pPr>
        <w:pStyle w:val="2"/>
        <w:spacing w:before="0"/>
        <w:jc w:val="both"/>
        <w:rPr>
          <w:rFonts w:ascii="Times New Roman" w:hAnsi="Times New Roman" w:eastAsia="Arial"/>
          <w:sz w:val="24"/>
          <w:szCs w:val="24"/>
        </w:rPr>
      </w:pPr>
    </w:p>
    <w:p w14:paraId="153EBB57">
      <w:pPr>
        <w:pStyle w:val="2"/>
        <w:spacing w:before="0"/>
        <w:jc w:val="both"/>
        <w:rPr>
          <w:rFonts w:ascii="Times New Roman" w:hAnsi="Times New Roman"/>
          <w:sz w:val="24"/>
          <w:szCs w:val="24"/>
        </w:rPr>
      </w:pPr>
      <w:r>
        <w:rPr>
          <w:rFonts w:ascii="Times New Roman" w:hAnsi="Times New Roman" w:eastAsia="Arial"/>
          <w:sz w:val="24"/>
          <w:szCs w:val="24"/>
        </w:rPr>
        <w:t>OPĆE ODREDBE</w:t>
      </w:r>
    </w:p>
    <w:p w14:paraId="22A5C3B0">
      <w:pPr>
        <w:pStyle w:val="2"/>
        <w:spacing w:before="0"/>
        <w:jc w:val="both"/>
        <w:rPr>
          <w:rFonts w:ascii="Times New Roman" w:hAnsi="Times New Roman" w:eastAsia="Arial"/>
          <w:sz w:val="24"/>
          <w:szCs w:val="24"/>
        </w:rPr>
      </w:pPr>
    </w:p>
    <w:p w14:paraId="4C50EA90">
      <w:pPr>
        <w:pStyle w:val="2"/>
        <w:spacing w:before="0"/>
        <w:jc w:val="center"/>
        <w:rPr>
          <w:rFonts w:ascii="Times New Roman" w:hAnsi="Times New Roman"/>
          <w:sz w:val="24"/>
          <w:szCs w:val="24"/>
        </w:rPr>
      </w:pPr>
      <w:r>
        <w:rPr>
          <w:rFonts w:ascii="Times New Roman" w:hAnsi="Times New Roman" w:eastAsia="Arial"/>
          <w:sz w:val="24"/>
          <w:szCs w:val="24"/>
        </w:rPr>
        <w:t>Članak 1.</w:t>
      </w:r>
    </w:p>
    <w:p w14:paraId="574375EB">
      <w:pPr>
        <w:pStyle w:val="10"/>
        <w:numPr>
          <w:ilvl w:val="0"/>
          <w:numId w:val="1"/>
        </w:numPr>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Ovim Pravilnikom uređuje se postupak jednostavne nabave roba, usluga i radova za potrebe Osnovne škole Julija Klovića (u daljnjem tekstu: škola), čija je procijenjena vrijednost manja od 50.000,00 € bez PDV–a za robu i usluge, odnosno manja od 100.000,00 € bez PDV–a za radove.</w:t>
      </w:r>
    </w:p>
    <w:p w14:paraId="520FAFE2">
      <w:pPr>
        <w:pStyle w:val="10"/>
        <w:numPr>
          <w:ilvl w:val="0"/>
          <w:numId w:val="1"/>
        </w:numPr>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w:t>
      </w:r>
    </w:p>
    <w:p w14:paraId="3EDB4014">
      <w:pPr>
        <w:pStyle w:val="10"/>
        <w:numPr>
          <w:ilvl w:val="0"/>
          <w:numId w:val="1"/>
        </w:numPr>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U slučaju promjene zakonskih pragova za primjenu Zakona o javnoj nabavi, na postupke jednostavne nabave izravno će se primijeniti važeći zakonski pragovi.</w:t>
      </w:r>
    </w:p>
    <w:p w14:paraId="7C3603F9">
      <w:pPr>
        <w:pStyle w:val="10"/>
        <w:numPr>
          <w:ilvl w:val="0"/>
          <w:numId w:val="1"/>
        </w:numPr>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Izrazi koji se koriste u ovom Pravilniku, a imaju rodno značenje, odnose se jednako na muški i ženski rod.</w:t>
      </w:r>
    </w:p>
    <w:p w14:paraId="3F4356F3">
      <w:pPr>
        <w:spacing w:after="0"/>
        <w:jc w:val="both"/>
        <w:rPr>
          <w:rFonts w:ascii="Times New Roman" w:hAnsi="Times New Roman" w:cs="Times New Roman"/>
          <w:sz w:val="24"/>
          <w:szCs w:val="24"/>
        </w:rPr>
      </w:pPr>
    </w:p>
    <w:p w14:paraId="156B8CE9">
      <w:pPr>
        <w:pStyle w:val="2"/>
        <w:spacing w:before="0"/>
        <w:jc w:val="center"/>
        <w:rPr>
          <w:rFonts w:ascii="Times New Roman" w:hAnsi="Times New Roman"/>
          <w:sz w:val="24"/>
          <w:szCs w:val="24"/>
        </w:rPr>
      </w:pPr>
      <w:r>
        <w:rPr>
          <w:rFonts w:ascii="Times New Roman" w:hAnsi="Times New Roman" w:eastAsia="Arial"/>
          <w:sz w:val="24"/>
          <w:szCs w:val="24"/>
        </w:rPr>
        <w:t>Članak 2.</w:t>
      </w:r>
    </w:p>
    <w:p w14:paraId="5A0977F2">
      <w:pPr>
        <w:pStyle w:val="10"/>
        <w:spacing w:after="0"/>
        <w:ind w:left="0"/>
        <w:jc w:val="both"/>
        <w:rPr>
          <w:rFonts w:ascii="Times New Roman" w:hAnsi="Times New Roman" w:cs="Times New Roman"/>
          <w:sz w:val="24"/>
          <w:szCs w:val="24"/>
        </w:rPr>
      </w:pPr>
      <w:r>
        <w:rPr>
          <w:rFonts w:ascii="Times New Roman" w:hAnsi="Times New Roman" w:eastAsia="Arial" w:cs="Times New Roman"/>
          <w:sz w:val="24"/>
          <w:szCs w:val="24"/>
        </w:rPr>
        <w:t>Prilikom provođenja postupaka nabave prema ovom Pravilniku, škola je obvezna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pPr>
        <w:pStyle w:val="2"/>
        <w:spacing w:before="0"/>
        <w:jc w:val="both"/>
        <w:rPr>
          <w:rFonts w:ascii="Times New Roman" w:hAnsi="Times New Roman" w:eastAsia="Arial"/>
          <w:sz w:val="24"/>
          <w:szCs w:val="24"/>
        </w:rPr>
      </w:pPr>
    </w:p>
    <w:p w14:paraId="40955362">
      <w:pPr>
        <w:pStyle w:val="2"/>
        <w:spacing w:before="0"/>
        <w:jc w:val="center"/>
        <w:rPr>
          <w:rFonts w:ascii="Times New Roman" w:hAnsi="Times New Roman"/>
          <w:sz w:val="24"/>
          <w:szCs w:val="24"/>
        </w:rPr>
      </w:pPr>
      <w:r>
        <w:rPr>
          <w:rFonts w:ascii="Times New Roman" w:hAnsi="Times New Roman" w:eastAsia="Arial"/>
          <w:sz w:val="24"/>
          <w:szCs w:val="24"/>
        </w:rPr>
        <w:t>Članak 3.</w:t>
      </w:r>
    </w:p>
    <w:p w14:paraId="3BACC053">
      <w:pPr>
        <w:pStyle w:val="10"/>
        <w:numPr>
          <w:ilvl w:val="0"/>
          <w:numId w:val="2"/>
        </w:numPr>
        <w:tabs>
          <w:tab w:val="left" w:pos="426"/>
        </w:tabs>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U provedbi postupaka jednostavne nabave sukladno ovom Pravilniku, škola će koristiti mogućnost primjene elektroničkih sredstava komunikacije, kao i sredstava koja nisu elektronička.</w:t>
      </w:r>
    </w:p>
    <w:p w14:paraId="6D5B154E">
      <w:pPr>
        <w:pStyle w:val="10"/>
        <w:numPr>
          <w:ilvl w:val="0"/>
          <w:numId w:val="2"/>
        </w:numPr>
        <w:tabs>
          <w:tab w:val="left" w:pos="426"/>
        </w:tabs>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Elektroničkim sredstvima komunikacije, u smislu ovoga Pravilnika, smatraju se: EOJN, modul jednostavna nabava, odnosno elektronička pošta škole.</w:t>
      </w:r>
    </w:p>
    <w:p w14:paraId="5EF08615">
      <w:pPr>
        <w:pStyle w:val="10"/>
        <w:spacing w:after="0"/>
        <w:ind w:left="0"/>
        <w:jc w:val="both"/>
        <w:rPr>
          <w:rFonts w:ascii="Times New Roman" w:hAnsi="Times New Roman" w:cs="Times New Roman"/>
          <w:sz w:val="24"/>
          <w:szCs w:val="24"/>
        </w:rPr>
      </w:pPr>
    </w:p>
    <w:p w14:paraId="42E5BEC6">
      <w:pPr>
        <w:pStyle w:val="10"/>
        <w:spacing w:after="0"/>
        <w:ind w:left="0"/>
        <w:jc w:val="both"/>
        <w:rPr>
          <w:rFonts w:ascii="Times New Roman" w:hAnsi="Times New Roman" w:cs="Times New Roman"/>
          <w:sz w:val="24"/>
          <w:szCs w:val="24"/>
        </w:rPr>
      </w:pPr>
    </w:p>
    <w:p w14:paraId="2F421365">
      <w:pPr>
        <w:pStyle w:val="10"/>
        <w:spacing w:after="0"/>
        <w:ind w:left="0"/>
        <w:jc w:val="both"/>
        <w:rPr>
          <w:rFonts w:ascii="Times New Roman" w:hAnsi="Times New Roman" w:cs="Times New Roman"/>
          <w:sz w:val="24"/>
          <w:szCs w:val="24"/>
        </w:rPr>
      </w:pPr>
    </w:p>
    <w:p w14:paraId="2973D9EA">
      <w:pPr>
        <w:pStyle w:val="10"/>
        <w:spacing w:after="0"/>
        <w:ind w:left="0"/>
        <w:jc w:val="both"/>
        <w:rPr>
          <w:rFonts w:ascii="Times New Roman" w:hAnsi="Times New Roman" w:cs="Times New Roman"/>
          <w:sz w:val="24"/>
          <w:szCs w:val="24"/>
        </w:rPr>
      </w:pPr>
    </w:p>
    <w:p w14:paraId="0EE6C2C3">
      <w:pPr>
        <w:pStyle w:val="10"/>
        <w:spacing w:after="0"/>
        <w:ind w:left="0"/>
        <w:jc w:val="both"/>
        <w:rPr>
          <w:rFonts w:ascii="Times New Roman" w:hAnsi="Times New Roman" w:cs="Times New Roman"/>
          <w:sz w:val="24"/>
          <w:szCs w:val="24"/>
        </w:rPr>
      </w:pPr>
    </w:p>
    <w:p w14:paraId="2628635B">
      <w:pPr>
        <w:pStyle w:val="2"/>
        <w:spacing w:before="0"/>
        <w:jc w:val="both"/>
        <w:rPr>
          <w:rFonts w:ascii="Times New Roman" w:hAnsi="Times New Roman"/>
          <w:sz w:val="24"/>
          <w:szCs w:val="24"/>
        </w:rPr>
      </w:pPr>
      <w:r>
        <w:rPr>
          <w:rFonts w:ascii="Times New Roman" w:hAnsi="Times New Roman" w:eastAsia="Arial"/>
          <w:sz w:val="24"/>
          <w:szCs w:val="24"/>
        </w:rPr>
        <w:t>PLAN NABAVE I AKTIVNOSTI KOJE PRETHODE POKRETANJU POSTUPKA JEDNOSTAVNE NABAVE</w:t>
      </w:r>
    </w:p>
    <w:p w14:paraId="76785C71">
      <w:pPr>
        <w:pStyle w:val="10"/>
        <w:spacing w:after="0"/>
        <w:ind w:left="0"/>
        <w:jc w:val="both"/>
        <w:rPr>
          <w:rFonts w:ascii="Times New Roman" w:hAnsi="Times New Roman" w:cs="Times New Roman"/>
          <w:sz w:val="24"/>
          <w:szCs w:val="24"/>
        </w:rPr>
      </w:pPr>
    </w:p>
    <w:p w14:paraId="027F58B6">
      <w:pPr>
        <w:pStyle w:val="2"/>
        <w:spacing w:before="0"/>
        <w:jc w:val="center"/>
        <w:rPr>
          <w:rFonts w:ascii="Times New Roman" w:hAnsi="Times New Roman"/>
          <w:sz w:val="24"/>
          <w:szCs w:val="24"/>
        </w:rPr>
      </w:pPr>
      <w:r>
        <w:rPr>
          <w:rFonts w:ascii="Times New Roman" w:hAnsi="Times New Roman" w:eastAsia="Arial"/>
          <w:sz w:val="24"/>
          <w:szCs w:val="24"/>
        </w:rPr>
        <w:t>Članak 4.</w:t>
      </w:r>
    </w:p>
    <w:p w14:paraId="6A7AE2C1">
      <w:pPr>
        <w:pStyle w:val="10"/>
        <w:numPr>
          <w:ilvl w:val="0"/>
          <w:numId w:val="3"/>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Jednostavna nabava planira se u skladu s financijskim planom škole, planom nabave i stvarnim potrebama škole.</w:t>
      </w:r>
    </w:p>
    <w:p w14:paraId="0759FF81">
      <w:pPr>
        <w:pStyle w:val="10"/>
        <w:numPr>
          <w:ilvl w:val="0"/>
          <w:numId w:val="3"/>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Predmeti nabave čija je procijenjena vrijednost jednaka ili veća od 5.000,00 € bez PDV–a unose se u plan nabave i registar ugovora.</w:t>
      </w:r>
    </w:p>
    <w:p w14:paraId="22ABA5DF">
      <w:pPr>
        <w:pStyle w:val="10"/>
        <w:numPr>
          <w:ilvl w:val="0"/>
          <w:numId w:val="3"/>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Plan nabave, njegove izmjene i dopune te registar ugovora objavljuju se, odnosno unose u EOJN u skladu s važećim propisima.</w:t>
      </w:r>
    </w:p>
    <w:p w14:paraId="659FDBEF">
      <w:pPr>
        <w:tabs>
          <w:tab w:val="left" w:pos="283"/>
        </w:tabs>
        <w:spacing w:after="0"/>
        <w:jc w:val="both"/>
        <w:rPr>
          <w:rFonts w:ascii="Times New Roman" w:hAnsi="Times New Roman" w:eastAsia="Arial" w:cs="Times New Roman"/>
          <w:sz w:val="24"/>
          <w:szCs w:val="24"/>
        </w:rPr>
      </w:pPr>
    </w:p>
    <w:p w14:paraId="62F21D2A">
      <w:pPr>
        <w:tabs>
          <w:tab w:val="left" w:pos="283"/>
        </w:tabs>
        <w:spacing w:after="0"/>
        <w:jc w:val="center"/>
        <w:rPr>
          <w:rFonts w:ascii="Times New Roman" w:hAnsi="Times New Roman" w:eastAsia="Arial" w:cs="Times New Roman"/>
          <w:b/>
          <w:bCs/>
          <w:sz w:val="24"/>
          <w:szCs w:val="24"/>
        </w:rPr>
      </w:pPr>
      <w:r>
        <w:rPr>
          <w:rFonts w:ascii="Times New Roman" w:hAnsi="Times New Roman" w:eastAsia="Arial" w:cs="Times New Roman"/>
          <w:b/>
          <w:bCs/>
          <w:sz w:val="24"/>
          <w:szCs w:val="24"/>
        </w:rPr>
        <w:t>Članak 5.</w:t>
      </w:r>
    </w:p>
    <w:p w14:paraId="7D55AD7E">
      <w:pPr>
        <w:pStyle w:val="10"/>
        <w:numPr>
          <w:ilvl w:val="0"/>
          <w:numId w:val="4"/>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Procijenjena vrijednost nabave mora biti valjano određena prije početka postupka jednostavne nabave.</w:t>
      </w:r>
    </w:p>
    <w:p w14:paraId="5AEDC7CA">
      <w:pPr>
        <w:pStyle w:val="10"/>
        <w:numPr>
          <w:ilvl w:val="0"/>
          <w:numId w:val="4"/>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Procijenjena vrijednost određuje se na temelju ukupnog iznosa, bez PDV–a, uključujući sve opcije i moguća obnavljanja ugovora ako su predviđena.</w:t>
      </w:r>
    </w:p>
    <w:p w14:paraId="6F166486">
      <w:pPr>
        <w:pStyle w:val="10"/>
        <w:numPr>
          <w:ilvl w:val="0"/>
          <w:numId w:val="4"/>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Škola ne smije dijeliti predmet nabave niti procijenjenu vrijednost nabave određivati s namjerom izbjegavanja primjene Zakona o javnoj nabavi ili ovoga Pravilnika.</w:t>
      </w:r>
    </w:p>
    <w:p w14:paraId="491B6835">
      <w:pPr>
        <w:pStyle w:val="10"/>
        <w:numPr>
          <w:ilvl w:val="0"/>
          <w:numId w:val="4"/>
        </w:numPr>
        <w:tabs>
          <w:tab w:val="left" w:pos="426"/>
        </w:tabs>
        <w:spacing w:after="0"/>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Ako se predmet nabave dijeli na grupe, procijenjena vrijednost nabave određuje se kao ukupna procijenjena vrijednost svih grupa predmeta nabave.</w:t>
      </w:r>
    </w:p>
    <w:p w14:paraId="3B799916">
      <w:pPr>
        <w:spacing w:after="0"/>
        <w:jc w:val="both"/>
        <w:rPr>
          <w:rFonts w:ascii="Times New Roman" w:hAnsi="Times New Roman" w:cs="Times New Roman"/>
          <w:sz w:val="24"/>
          <w:szCs w:val="24"/>
        </w:rPr>
      </w:pPr>
    </w:p>
    <w:p w14:paraId="42F2C70B">
      <w:pPr>
        <w:spacing w:after="0"/>
        <w:jc w:val="both"/>
        <w:rPr>
          <w:rFonts w:ascii="Times New Roman" w:hAnsi="Times New Roman" w:cs="Times New Roman"/>
          <w:b/>
          <w:bCs/>
          <w:sz w:val="24"/>
          <w:szCs w:val="24"/>
        </w:rPr>
      </w:pPr>
      <w:r>
        <w:rPr>
          <w:rFonts w:ascii="Times New Roman" w:hAnsi="Times New Roman" w:cs="Times New Roman"/>
          <w:b/>
          <w:bCs/>
          <w:sz w:val="24"/>
          <w:szCs w:val="24"/>
        </w:rPr>
        <w:t>POKRETANJE POSTUPKA NABAVE</w:t>
      </w:r>
    </w:p>
    <w:p w14:paraId="76CAD9F8">
      <w:pPr>
        <w:spacing w:after="0"/>
        <w:jc w:val="both"/>
        <w:rPr>
          <w:rFonts w:ascii="Times New Roman" w:hAnsi="Times New Roman" w:cs="Times New Roman"/>
          <w:b/>
          <w:bCs/>
          <w:sz w:val="24"/>
          <w:szCs w:val="24"/>
        </w:rPr>
      </w:pPr>
    </w:p>
    <w:p w14:paraId="5F18EB4A">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6.</w:t>
      </w:r>
    </w:p>
    <w:p w14:paraId="5A075ACF">
      <w:pPr>
        <w:pStyle w:val="10"/>
        <w:numPr>
          <w:ilvl w:val="0"/>
          <w:numId w:val="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Postupak jednostavne nabave pokreće se na temelju odluke ravnatelja škole u skladu sa stvarnim potrebama škole, osiguranim ili planiranim sredstvima, odnosno druge odgovarajuće pisane evidencije ako se postupak provodi izdavanjem narudžbenice.</w:t>
      </w:r>
    </w:p>
    <w:p w14:paraId="6733AABD">
      <w:pPr>
        <w:pStyle w:val="10"/>
        <w:numPr>
          <w:ilvl w:val="0"/>
          <w:numId w:val="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pPr>
        <w:pStyle w:val="10"/>
        <w:numPr>
          <w:ilvl w:val="0"/>
          <w:numId w:val="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pPr>
        <w:spacing w:after="0"/>
        <w:jc w:val="both"/>
        <w:rPr>
          <w:rFonts w:ascii="Times New Roman" w:hAnsi="Times New Roman" w:cs="Times New Roman"/>
          <w:sz w:val="24"/>
          <w:szCs w:val="24"/>
        </w:rPr>
      </w:pPr>
    </w:p>
    <w:p w14:paraId="11FC5659">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7.</w:t>
      </w:r>
    </w:p>
    <w:p w14:paraId="18894D6E">
      <w:pPr>
        <w:pStyle w:val="10"/>
        <w:numPr>
          <w:ilvl w:val="0"/>
          <w:numId w:val="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pPr>
        <w:pStyle w:val="10"/>
        <w:numPr>
          <w:ilvl w:val="0"/>
          <w:numId w:val="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pPr>
        <w:pStyle w:val="10"/>
        <w:numPr>
          <w:ilvl w:val="0"/>
          <w:numId w:val="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Kod jednostavne nabave veće od 15.000,00 € bez PDV–a ravnatelj će imenovati povjerenstvo od najmanje tri osobe za provedbu postupka, osim ako zbog prirode predmeta nabave ili organizacijskih razloga to nije moguće.</w:t>
      </w:r>
    </w:p>
    <w:p w14:paraId="076EE397">
      <w:pPr>
        <w:spacing w:after="0"/>
        <w:jc w:val="both"/>
        <w:rPr>
          <w:rFonts w:ascii="Times New Roman" w:hAnsi="Times New Roman" w:cs="Times New Roman"/>
          <w:sz w:val="24"/>
          <w:szCs w:val="24"/>
        </w:rPr>
      </w:pPr>
    </w:p>
    <w:p w14:paraId="1ECB505F">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8.</w:t>
      </w:r>
    </w:p>
    <w:p w14:paraId="78D70DC5">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Predmet nabave se određuje na način da predstavlja tehničku, tehnološku, oblikovnu, funkcionalnu ili drugu objektivno odredivu cjelinu.</w:t>
      </w:r>
    </w:p>
    <w:p w14:paraId="23006F8D">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14:paraId="62C448AA">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Procijenjena vrijednost nabave mora biti određena u trenutku početka postupka jednostavne nabave. </w:t>
      </w:r>
    </w:p>
    <w:p w14:paraId="59B9DF4F">
      <w:pPr>
        <w:pStyle w:val="10"/>
        <w:numPr>
          <w:ilvl w:val="0"/>
          <w:numId w:val="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Izračunavanje procijenjene vrijednosti nabave temelji se na ukupnom iznosu bez PDV–a.</w:t>
      </w:r>
    </w:p>
    <w:p w14:paraId="4D216D90">
      <w:pPr>
        <w:pStyle w:val="10"/>
        <w:spacing w:after="0"/>
        <w:ind w:left="0"/>
        <w:jc w:val="both"/>
        <w:rPr>
          <w:rFonts w:ascii="Times New Roman" w:hAnsi="Times New Roman" w:cs="Times New Roman"/>
          <w:b/>
          <w:bCs/>
          <w:sz w:val="24"/>
          <w:szCs w:val="24"/>
        </w:rPr>
      </w:pPr>
    </w:p>
    <w:p w14:paraId="2AC3E732">
      <w:pPr>
        <w:pStyle w:val="10"/>
        <w:spacing w:after="0"/>
        <w:ind w:left="0"/>
        <w:jc w:val="both"/>
        <w:rPr>
          <w:rFonts w:ascii="Times New Roman" w:hAnsi="Times New Roman" w:cs="Times New Roman"/>
          <w:b/>
          <w:bCs/>
          <w:sz w:val="24"/>
          <w:szCs w:val="24"/>
        </w:rPr>
      </w:pPr>
      <w:r>
        <w:rPr>
          <w:rFonts w:ascii="Times New Roman" w:hAnsi="Times New Roman" w:cs="Times New Roman"/>
          <w:b/>
          <w:bCs/>
          <w:sz w:val="24"/>
          <w:szCs w:val="24"/>
        </w:rPr>
        <w:t>PROVEDBA POSTUPKA NABAVE</w:t>
      </w:r>
    </w:p>
    <w:p w14:paraId="3889288E">
      <w:pPr>
        <w:pStyle w:val="10"/>
        <w:spacing w:after="0"/>
        <w:ind w:left="0"/>
        <w:jc w:val="both"/>
        <w:rPr>
          <w:rFonts w:ascii="Times New Roman" w:hAnsi="Times New Roman" w:cs="Times New Roman"/>
          <w:b/>
          <w:bCs/>
          <w:sz w:val="24"/>
          <w:szCs w:val="24"/>
        </w:rPr>
      </w:pPr>
    </w:p>
    <w:p w14:paraId="00E59CB1">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9.</w:t>
      </w:r>
    </w:p>
    <w:p w14:paraId="03B8E242">
      <w:pPr>
        <w:pStyle w:val="10"/>
        <w:numPr>
          <w:ilvl w:val="0"/>
          <w:numId w:val="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Nabava robe, radova i usluga procijenjene vrijednosti jednake ili manje od 15.000,00 € bez PDV–a može se provesti izdavanjem narudžbenice ili sklapanjem ugovora s jednim gospodarskim subjektom po izboru škole.</w:t>
      </w:r>
    </w:p>
    <w:p w14:paraId="66CCBB0B">
      <w:pPr>
        <w:pStyle w:val="10"/>
        <w:numPr>
          <w:ilvl w:val="0"/>
          <w:numId w:val="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 provedbi nabave iz stavka 1. ovoga članka, škola je dužna voditi računa o svrhovitosti i ekonomičnosti nabave, raspoloživosti sredstava, tržišnim uvjetima, kvaliteti predmeta nabave te urednom izvršenju obveza od strane gospodarskog subjekta.</w:t>
      </w:r>
    </w:p>
    <w:p w14:paraId="57307BC1">
      <w:pPr>
        <w:pStyle w:val="10"/>
        <w:numPr>
          <w:ilvl w:val="0"/>
          <w:numId w:val="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provedbu nabave iz stavka 1. ovoga članka može se koristiti elektronička pošta ili pisana ponuda.</w:t>
      </w:r>
    </w:p>
    <w:p w14:paraId="1D069592">
      <w:pPr>
        <w:pStyle w:val="10"/>
        <w:numPr>
          <w:ilvl w:val="0"/>
          <w:numId w:val="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Prije pokretanja postupka jednostavne nabave, škola može provesti istraživanje tržišta radi prikupljanja informacija o predmetu nabave, gospodarskim subjektima, cijenama, tehničkim rješenjima i drugim okolnostima relevantnim za planiranje i provedbu nabave.</w:t>
      </w:r>
    </w:p>
    <w:p w14:paraId="33E86A61">
      <w:pPr>
        <w:spacing w:after="0"/>
        <w:jc w:val="both"/>
        <w:rPr>
          <w:rFonts w:ascii="Times New Roman" w:hAnsi="Times New Roman" w:cs="Times New Roman"/>
          <w:sz w:val="24"/>
          <w:szCs w:val="24"/>
        </w:rPr>
      </w:pPr>
    </w:p>
    <w:p w14:paraId="7645DCFB">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10.</w:t>
      </w:r>
    </w:p>
    <w:p w14:paraId="713B8FE7">
      <w:pPr>
        <w:pStyle w:val="10"/>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Postupak jednostavne nabave čija je procijenjena vrijednost veća od 15.000,00 € bez PDV–a provodi se putem modula jednostavne nabave u EOJN.</w:t>
      </w:r>
    </w:p>
    <w:p w14:paraId="150C818A">
      <w:pPr>
        <w:pStyle w:val="10"/>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nabavu robe i usluga čija je procijenjena vrijednost veća od 15.000,00 € bez PDV–a, a jednaka ili manja od 25.000,00 € bez PDV–a, postupak se provodi u modulu jednostavne nabave u EOJN, bez obvezne javne objave, osim ako škola odluči provesti javnu objavu.</w:t>
      </w:r>
    </w:p>
    <w:p w14:paraId="1BD23EE9">
      <w:pPr>
        <w:pStyle w:val="10"/>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nabavu radova čija je procijenjena vrijednost veća od 15.000,00 € bez PDV–a, a jednaka ili manja od 45.000,00 € bez PDV–a, postupak se provodi u modulu jednostavne nabave u EOJN, bez obvezne javne objave, osim ako škola odluči provesti javnu objavu.</w:t>
      </w:r>
    </w:p>
    <w:p w14:paraId="6090EF66">
      <w:pPr>
        <w:pStyle w:val="10"/>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Kod provedbe postupka bez obvezne javne objave, škola će pozvati najmanje tri gospodarska subjekta, ako na tržištu postoji dovoljan broj gospodarskih subjekata koji mogu izvršiti predmet nabave. </w:t>
      </w:r>
    </w:p>
    <w:p w14:paraId="598F6690">
      <w:pPr>
        <w:pStyle w:val="10"/>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Iznimno od stavka 4. ovoga članka, škola će pozvati manji broj gospodarskih subjekata uz obrazloženje razloga u dokumentaciji postupka.</w:t>
      </w:r>
    </w:p>
    <w:p w14:paraId="1E1C8083">
      <w:pPr>
        <w:spacing w:after="0"/>
        <w:jc w:val="both"/>
        <w:rPr>
          <w:rFonts w:ascii="Times New Roman" w:hAnsi="Times New Roman" w:cs="Times New Roman"/>
          <w:sz w:val="24"/>
          <w:szCs w:val="24"/>
        </w:rPr>
      </w:pPr>
    </w:p>
    <w:p w14:paraId="4A306D67">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11.</w:t>
      </w:r>
    </w:p>
    <w:p w14:paraId="3EE1F0F1">
      <w:pPr>
        <w:pStyle w:val="10"/>
        <w:numPr>
          <w:ilvl w:val="0"/>
          <w:numId w:val="10"/>
        </w:numPr>
        <w:spacing w:after="0"/>
        <w:ind w:left="426" w:hanging="426"/>
        <w:jc w:val="both"/>
        <w:rPr>
          <w:rFonts w:ascii="Times New Roman" w:hAnsi="Times New Roman" w:cs="Times New Roman"/>
          <w:sz w:val="24"/>
          <w:szCs w:val="24"/>
        </w:rPr>
      </w:pPr>
      <w:bookmarkStart w:id="0" w:name="_Hlk232319148"/>
      <w:r>
        <w:rPr>
          <w:rFonts w:ascii="Times New Roman" w:hAnsi="Times New Roman" w:cs="Times New Roman"/>
          <w:sz w:val="24"/>
          <w:szCs w:val="24"/>
        </w:rPr>
        <w:t>Za nabavu robe i usluga čija je procijenjena vrijednost veća od 25.000,00 € bez PDV–a te za nabavu radova čija je procijenjena vrijednost veća od 45.000,00 € bez PDV–a, škola je obvezna provesti postupak jednostavne nabave putem javne objave u modulu jednostavne nabave u EOJN.</w:t>
      </w:r>
    </w:p>
    <w:p w14:paraId="7CE5364C">
      <w:pPr>
        <w:pStyle w:val="10"/>
        <w:numPr>
          <w:ilvl w:val="0"/>
          <w:numId w:val="10"/>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pPr>
        <w:pStyle w:val="10"/>
        <w:spacing w:after="0"/>
        <w:ind w:left="0"/>
        <w:jc w:val="both"/>
        <w:rPr>
          <w:rFonts w:ascii="Times New Roman" w:hAnsi="Times New Roman" w:cs="Times New Roman"/>
          <w:sz w:val="24"/>
          <w:szCs w:val="24"/>
        </w:rPr>
      </w:pPr>
    </w:p>
    <w:p w14:paraId="242D9EB5">
      <w:pPr>
        <w:pStyle w:val="10"/>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Članak 12.</w:t>
      </w:r>
    </w:p>
    <w:p w14:paraId="052E58C8">
      <w:pPr>
        <w:pStyle w:val="10"/>
        <w:numPr>
          <w:ilvl w:val="0"/>
          <w:numId w:val="11"/>
        </w:numPr>
        <w:spacing w:after="0"/>
        <w:ind w:left="426" w:hanging="426"/>
        <w:rPr>
          <w:rFonts w:ascii="Times New Roman" w:hAnsi="Times New Roman" w:cs="Times New Roman"/>
          <w:sz w:val="24"/>
          <w:szCs w:val="24"/>
        </w:rPr>
      </w:pPr>
      <w:r>
        <w:rPr>
          <w:rFonts w:ascii="Times New Roman" w:hAnsi="Times New Roman" w:cs="Times New Roman"/>
          <w:sz w:val="24"/>
          <w:szCs w:val="24"/>
        </w:rPr>
        <w:t>Iznimno od članka 11. ovoga Pravilnika, škola nije obvezna provesti postupak jednostavne nabave putem javne objave u modulu jednostavne nabave, već ga provodi sukladno članku 10. ovoga Pravilnika u slučaju:</w:t>
      </w:r>
    </w:p>
    <w:p w14:paraId="5E10960B">
      <w:pPr>
        <w:pStyle w:val="10"/>
        <w:numPr>
          <w:ilvl w:val="0"/>
          <w:numId w:val="12"/>
        </w:numPr>
        <w:spacing w:after="0"/>
        <w:rPr>
          <w:rFonts w:ascii="Times New Roman" w:hAnsi="Times New Roman" w:cs="Times New Roman"/>
          <w:sz w:val="24"/>
          <w:szCs w:val="24"/>
        </w:rPr>
      </w:pPr>
      <w:r>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p>
    <w:p w14:paraId="3D591656">
      <w:pPr>
        <w:pStyle w:val="10"/>
        <w:numPr>
          <w:ilvl w:val="0"/>
          <w:numId w:val="12"/>
        </w:numPr>
        <w:spacing w:after="0"/>
        <w:rPr>
          <w:rFonts w:ascii="Times New Roman" w:hAnsi="Times New Roman" w:cs="Times New Roman"/>
          <w:sz w:val="24"/>
          <w:szCs w:val="24"/>
        </w:rPr>
      </w:pPr>
      <w:r>
        <w:rPr>
          <w:rFonts w:ascii="Times New Roman" w:hAnsi="Times New Roman" w:cs="Times New Roman"/>
          <w:sz w:val="24"/>
          <w:szCs w:val="24"/>
        </w:rPr>
        <w:t>ako zbog objektivnih razloga predmet nabave može izvršiti, isporučiti ili pružiti samo određeni gospodarski subjekt, i to:</w:t>
      </w:r>
    </w:p>
    <w:p w14:paraId="1DBAC220">
      <w:pPr>
        <w:pStyle w:val="10"/>
        <w:numPr>
          <w:ilvl w:val="0"/>
          <w:numId w:val="13"/>
        </w:numPr>
        <w:spacing w:after="0"/>
        <w:ind w:left="993" w:hanging="284"/>
        <w:rPr>
          <w:rFonts w:ascii="Times New Roman" w:hAnsi="Times New Roman" w:cs="Times New Roman"/>
          <w:sz w:val="24"/>
          <w:szCs w:val="24"/>
        </w:rPr>
      </w:pPr>
      <w:r>
        <w:rPr>
          <w:rFonts w:ascii="Times New Roman" w:hAnsi="Times New Roman" w:cs="Times New Roman"/>
          <w:sz w:val="24"/>
          <w:szCs w:val="24"/>
        </w:rPr>
        <w:t>ako je predmet nabave stvaranje ili stjecanje jedinstvenog umjetničkog djela ili umjetničke izvedbe,</w:t>
      </w:r>
    </w:p>
    <w:p w14:paraId="20B61A25">
      <w:pPr>
        <w:pStyle w:val="10"/>
        <w:numPr>
          <w:ilvl w:val="0"/>
          <w:numId w:val="13"/>
        </w:numPr>
        <w:spacing w:after="0"/>
        <w:ind w:left="993" w:hanging="284"/>
        <w:rPr>
          <w:rFonts w:ascii="Times New Roman" w:hAnsi="Times New Roman" w:cs="Times New Roman"/>
          <w:sz w:val="24"/>
          <w:szCs w:val="24"/>
        </w:rPr>
      </w:pPr>
      <w:r>
        <w:rPr>
          <w:rFonts w:ascii="Times New Roman" w:hAnsi="Times New Roman" w:cs="Times New Roman"/>
          <w:sz w:val="24"/>
          <w:szCs w:val="24"/>
        </w:rPr>
        <w:t>ako iz tehničkih razloga predmet nabave može isporučiti samo određeni gospodarski subjekt,</w:t>
      </w:r>
    </w:p>
    <w:p w14:paraId="0515D317">
      <w:pPr>
        <w:pStyle w:val="10"/>
        <w:numPr>
          <w:ilvl w:val="0"/>
          <w:numId w:val="13"/>
        </w:numPr>
        <w:spacing w:after="0"/>
        <w:ind w:left="993" w:hanging="284"/>
        <w:rPr>
          <w:rFonts w:ascii="Times New Roman" w:hAnsi="Times New Roman" w:cs="Times New Roman"/>
          <w:sz w:val="24"/>
          <w:szCs w:val="24"/>
        </w:rPr>
      </w:pPr>
      <w:r>
        <w:rPr>
          <w:rFonts w:ascii="Times New Roman" w:hAnsi="Times New Roman" w:cs="Times New Roman"/>
          <w:sz w:val="24"/>
          <w:szCs w:val="24"/>
        </w:rPr>
        <w:t>ako je to nužno radi zaštite isključivih prava, uključujući prava intelektualnog vlasništva,</w:t>
      </w:r>
    </w:p>
    <w:p w14:paraId="314FBE12">
      <w:pPr>
        <w:pStyle w:val="10"/>
        <w:numPr>
          <w:ilvl w:val="0"/>
          <w:numId w:val="13"/>
        </w:numPr>
        <w:spacing w:after="0"/>
        <w:ind w:left="993" w:hanging="284"/>
        <w:rPr>
          <w:rFonts w:ascii="Times New Roman" w:hAnsi="Times New Roman" w:cs="Times New Roman"/>
          <w:sz w:val="24"/>
          <w:szCs w:val="24"/>
        </w:rPr>
      </w:pPr>
      <w:r>
        <w:rPr>
          <w:rFonts w:ascii="Times New Roman" w:hAnsi="Times New Roman" w:cs="Times New Roman"/>
          <w:sz w:val="24"/>
          <w:szCs w:val="24"/>
        </w:rPr>
        <w:t>ako postoji iznimna žurnost uzrokovana događajima koje naručitelj nije mogao predvidjeti niti na njih utjecati.</w:t>
      </w:r>
    </w:p>
    <w:p w14:paraId="5B3B9287">
      <w:pPr>
        <w:pStyle w:val="10"/>
        <w:numPr>
          <w:ilvl w:val="0"/>
          <w:numId w:val="11"/>
        </w:numPr>
        <w:spacing w:after="0"/>
        <w:ind w:left="426" w:hanging="426"/>
        <w:jc w:val="both"/>
        <w:rPr>
          <w:rFonts w:ascii="Times New Roman" w:hAnsi="Times New Roman" w:cs="Times New Roman"/>
          <w:sz w:val="24"/>
          <w:szCs w:val="24"/>
        </w:rPr>
      </w:pPr>
      <w:r>
        <w:rPr>
          <w:rFonts w:ascii="Times New Roman" w:hAnsi="Times New Roman" w:eastAsia="Arial" w:cs="Times New Roman"/>
          <w:sz w:val="24"/>
          <w:szCs w:val="24"/>
        </w:rPr>
        <w:t>Razlozi za primjenu iznimke iz stavka 1. ovoga članka navode se i obrazlažu u objavi u modulu jednostavne nabave u EOJN.</w:t>
      </w:r>
    </w:p>
    <w:p w14:paraId="177124A7">
      <w:pPr>
        <w:pStyle w:val="10"/>
        <w:numPr>
          <w:ilvl w:val="0"/>
          <w:numId w:val="1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pPr>
        <w:spacing w:after="0"/>
        <w:jc w:val="both"/>
        <w:rPr>
          <w:rFonts w:ascii="Times New Roman" w:hAnsi="Times New Roman" w:cs="Times New Roman"/>
          <w:sz w:val="24"/>
          <w:szCs w:val="24"/>
        </w:rPr>
      </w:pPr>
    </w:p>
    <w:p w14:paraId="613E7FE6">
      <w:pPr>
        <w:pStyle w:val="2"/>
        <w:spacing w:before="0"/>
        <w:jc w:val="both"/>
        <w:rPr>
          <w:rFonts w:ascii="Times New Roman" w:hAnsi="Times New Roman"/>
          <w:sz w:val="24"/>
          <w:szCs w:val="24"/>
        </w:rPr>
      </w:pPr>
      <w:r>
        <w:rPr>
          <w:rFonts w:ascii="Times New Roman" w:hAnsi="Times New Roman"/>
          <w:sz w:val="24"/>
          <w:szCs w:val="24"/>
        </w:rPr>
        <w:t>POZIV NA DOSTAVU PONUDE I DOSTAVA PONUDA</w:t>
      </w:r>
    </w:p>
    <w:p w14:paraId="35BD85A1">
      <w:pPr>
        <w:spacing w:after="0"/>
      </w:pPr>
    </w:p>
    <w:p w14:paraId="42BC3A9E">
      <w:pPr>
        <w:spacing w:after="0"/>
        <w:jc w:val="center"/>
        <w:rPr>
          <w:rFonts w:ascii="Times New Roman" w:hAnsi="Times New Roman" w:cs="Times New Roman"/>
          <w:sz w:val="24"/>
          <w:szCs w:val="24"/>
        </w:rPr>
      </w:pPr>
      <w:r>
        <w:rPr>
          <w:rFonts w:ascii="Times New Roman" w:hAnsi="Times New Roman" w:cs="Times New Roman"/>
          <w:b/>
          <w:sz w:val="24"/>
          <w:szCs w:val="24"/>
        </w:rPr>
        <w:t>Članak 13.</w:t>
      </w:r>
    </w:p>
    <w:p w14:paraId="4A21A407">
      <w:pPr>
        <w:spacing w:after="0"/>
        <w:jc w:val="both"/>
        <w:rPr>
          <w:rFonts w:ascii="Times New Roman" w:hAnsi="Times New Roman" w:cs="Times New Roman"/>
          <w:sz w:val="24"/>
          <w:szCs w:val="24"/>
        </w:rPr>
      </w:pPr>
      <w:r>
        <w:rPr>
          <w:rFonts w:ascii="Times New Roman" w:hAnsi="Times New Roman" w:cs="Times New Roman"/>
          <w:sz w:val="24"/>
          <w:szCs w:val="24"/>
        </w:rPr>
        <w:t>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radova ili pružanja usluga, uvjete i rok plaćanja, osnove za isključenje i dokaze sposobnosti, ako se traže, jamstva, ako se traže, odredbe o prigovoru, ako je riječ o nabavi procijenjene vrijednosti veće od 15.000,00 € bez PDV–a, nacrt ugovora, ako je primjenjivo, druge podatke potrebne za izradu i dostavu ponude.</w:t>
      </w:r>
    </w:p>
    <w:p w14:paraId="4D265738">
      <w:pPr>
        <w:spacing w:after="0"/>
        <w:jc w:val="both"/>
        <w:rPr>
          <w:rFonts w:ascii="Times New Roman" w:hAnsi="Times New Roman" w:cs="Times New Roman"/>
          <w:b/>
          <w:sz w:val="24"/>
          <w:szCs w:val="24"/>
        </w:rPr>
      </w:pPr>
    </w:p>
    <w:p w14:paraId="4D2B6BF1">
      <w:pPr>
        <w:spacing w:after="0"/>
        <w:jc w:val="both"/>
        <w:rPr>
          <w:rFonts w:ascii="Times New Roman" w:hAnsi="Times New Roman" w:cs="Times New Roman"/>
          <w:b/>
          <w:sz w:val="24"/>
          <w:szCs w:val="24"/>
        </w:rPr>
      </w:pPr>
    </w:p>
    <w:p w14:paraId="3AB3EB5B">
      <w:pPr>
        <w:spacing w:after="0"/>
        <w:jc w:val="both"/>
        <w:rPr>
          <w:rFonts w:ascii="Times New Roman" w:hAnsi="Times New Roman" w:cs="Times New Roman"/>
          <w:b/>
          <w:sz w:val="24"/>
          <w:szCs w:val="24"/>
        </w:rPr>
      </w:pPr>
    </w:p>
    <w:p w14:paraId="1FD11C92">
      <w:pPr>
        <w:spacing w:after="0"/>
        <w:jc w:val="both"/>
        <w:rPr>
          <w:rFonts w:ascii="Times New Roman" w:hAnsi="Times New Roman" w:cs="Times New Roman"/>
          <w:b/>
          <w:sz w:val="24"/>
          <w:szCs w:val="24"/>
        </w:rPr>
      </w:pPr>
    </w:p>
    <w:p w14:paraId="630319A2">
      <w:pPr>
        <w:spacing w:after="0"/>
        <w:jc w:val="center"/>
        <w:rPr>
          <w:rFonts w:ascii="Times New Roman" w:hAnsi="Times New Roman" w:cs="Times New Roman"/>
          <w:sz w:val="24"/>
          <w:szCs w:val="24"/>
        </w:rPr>
      </w:pPr>
      <w:r>
        <w:rPr>
          <w:rFonts w:ascii="Times New Roman" w:hAnsi="Times New Roman" w:cs="Times New Roman"/>
          <w:b/>
          <w:sz w:val="24"/>
          <w:szCs w:val="24"/>
        </w:rPr>
        <w:t>Članak 14.</w:t>
      </w:r>
    </w:p>
    <w:p w14:paraId="08FB4102">
      <w:pPr>
        <w:pStyle w:val="10"/>
        <w:numPr>
          <w:ilvl w:val="0"/>
          <w:numId w:val="1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pPr>
        <w:pStyle w:val="10"/>
        <w:numPr>
          <w:ilvl w:val="0"/>
          <w:numId w:val="1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Kod nabava koje se provode putem javne objave u modulu jednostavne nabave u EOJN, rok za dostavu ponuda mora biti razuman i dovoljan za pripremu ponude.</w:t>
      </w:r>
    </w:p>
    <w:p w14:paraId="694CD756">
      <w:pPr>
        <w:pStyle w:val="10"/>
        <w:numPr>
          <w:ilvl w:val="0"/>
          <w:numId w:val="1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pPr>
        <w:spacing w:after="0"/>
        <w:jc w:val="both"/>
        <w:rPr>
          <w:rFonts w:ascii="Times New Roman" w:hAnsi="Times New Roman" w:cs="Times New Roman"/>
          <w:b/>
          <w:sz w:val="24"/>
          <w:szCs w:val="24"/>
        </w:rPr>
      </w:pPr>
    </w:p>
    <w:p w14:paraId="178463EC">
      <w:pPr>
        <w:spacing w:after="0"/>
        <w:jc w:val="center"/>
        <w:rPr>
          <w:rFonts w:ascii="Times New Roman" w:hAnsi="Times New Roman" w:cs="Times New Roman"/>
          <w:sz w:val="24"/>
          <w:szCs w:val="24"/>
        </w:rPr>
      </w:pPr>
      <w:r>
        <w:rPr>
          <w:rFonts w:ascii="Times New Roman" w:hAnsi="Times New Roman" w:cs="Times New Roman"/>
          <w:b/>
          <w:sz w:val="24"/>
          <w:szCs w:val="24"/>
        </w:rPr>
        <w:t>Članak 15.</w:t>
      </w:r>
    </w:p>
    <w:p w14:paraId="4CFA1CBD">
      <w:pPr>
        <w:pStyle w:val="10"/>
        <w:numPr>
          <w:ilvl w:val="0"/>
          <w:numId w:val="1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nabave procijenjene vrijednosti jednake ili manje od 15.000,00 € bez PDV–a, ponude se mogu dostaviti elektroničkom poštom, poštom ili osobnom dostavom.</w:t>
      </w:r>
    </w:p>
    <w:p w14:paraId="322D6DDB">
      <w:pPr>
        <w:pStyle w:val="10"/>
        <w:numPr>
          <w:ilvl w:val="0"/>
          <w:numId w:val="1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nabave procijenjene vrijednosti veće od 15.000,00 € bez PDV–a, ponude se dostavljaju putem modula jednostavne nabave u EOJN.</w:t>
      </w:r>
    </w:p>
    <w:p w14:paraId="13DC3351">
      <w:pPr>
        <w:pStyle w:val="10"/>
        <w:numPr>
          <w:ilvl w:val="0"/>
          <w:numId w:val="1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14:paraId="01A96C38">
      <w:pPr>
        <w:spacing w:after="0"/>
        <w:jc w:val="both"/>
        <w:rPr>
          <w:rFonts w:ascii="Times New Roman" w:hAnsi="Times New Roman" w:cs="Times New Roman"/>
          <w:sz w:val="24"/>
          <w:szCs w:val="24"/>
        </w:rPr>
      </w:pPr>
    </w:p>
    <w:p w14:paraId="5BA93FE3">
      <w:pPr>
        <w:spacing w:after="0"/>
        <w:jc w:val="center"/>
        <w:rPr>
          <w:rFonts w:ascii="Times New Roman" w:hAnsi="Times New Roman" w:cs="Times New Roman"/>
          <w:sz w:val="24"/>
          <w:szCs w:val="24"/>
        </w:rPr>
      </w:pPr>
      <w:r>
        <w:rPr>
          <w:rFonts w:ascii="Times New Roman" w:hAnsi="Times New Roman" w:cs="Times New Roman"/>
          <w:b/>
          <w:sz w:val="24"/>
          <w:szCs w:val="24"/>
        </w:rPr>
        <w:t>Članak 16.</w:t>
      </w:r>
    </w:p>
    <w:p w14:paraId="0704D35E">
      <w:pPr>
        <w:pStyle w:val="10"/>
        <w:numPr>
          <w:ilvl w:val="0"/>
          <w:numId w:val="1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Gospodarski subjekti mogu zatražiti pojašnjenje poziva na dostavu ponude ili dokumentacije postupka u roku i na način određen pozivom u EOJN.</w:t>
      </w:r>
    </w:p>
    <w:p w14:paraId="5F2D6B4D">
      <w:pPr>
        <w:pStyle w:val="10"/>
        <w:numPr>
          <w:ilvl w:val="0"/>
          <w:numId w:val="1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 je dužna odgovoriti na pravodobno zaprimljene zahtjeve za pojašnjenjem, ako je odgovor potreban za izradu ponude.</w:t>
      </w:r>
    </w:p>
    <w:p w14:paraId="04DB8904">
      <w:pPr>
        <w:pStyle w:val="10"/>
        <w:numPr>
          <w:ilvl w:val="0"/>
          <w:numId w:val="1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Ako škola tijekom roka za dostavu ponuda izmijeni poziv ili dokumentaciju postupka, izmjena se mora učiniti dostupnom svim gospodarskim subjektima na isti način na koji je dostupan poziv ili dokumentacija.</w:t>
      </w:r>
    </w:p>
    <w:p w14:paraId="41C0DE8C">
      <w:pPr>
        <w:pStyle w:val="2"/>
        <w:spacing w:before="0"/>
        <w:jc w:val="both"/>
        <w:rPr>
          <w:rFonts w:ascii="Times New Roman" w:hAnsi="Times New Roman"/>
          <w:sz w:val="24"/>
          <w:szCs w:val="24"/>
        </w:rPr>
      </w:pPr>
    </w:p>
    <w:p w14:paraId="1BC3307B">
      <w:pPr>
        <w:pStyle w:val="2"/>
        <w:spacing w:before="0"/>
        <w:jc w:val="both"/>
        <w:rPr>
          <w:rFonts w:ascii="Times New Roman" w:hAnsi="Times New Roman"/>
          <w:sz w:val="24"/>
          <w:szCs w:val="24"/>
        </w:rPr>
      </w:pPr>
      <w:r>
        <w:rPr>
          <w:rFonts w:ascii="Times New Roman" w:hAnsi="Times New Roman"/>
          <w:sz w:val="24"/>
          <w:szCs w:val="24"/>
        </w:rPr>
        <w:t>PREGLED, OCJENA I ODABIR PONUDA</w:t>
      </w:r>
    </w:p>
    <w:p w14:paraId="2A27A5DE">
      <w:pPr>
        <w:spacing w:after="0"/>
      </w:pPr>
    </w:p>
    <w:p w14:paraId="4E12FE8E">
      <w:pPr>
        <w:spacing w:after="0"/>
        <w:jc w:val="center"/>
        <w:rPr>
          <w:rFonts w:ascii="Times New Roman" w:hAnsi="Times New Roman" w:cs="Times New Roman"/>
          <w:sz w:val="24"/>
          <w:szCs w:val="24"/>
        </w:rPr>
      </w:pPr>
      <w:r>
        <w:rPr>
          <w:rFonts w:ascii="Times New Roman" w:hAnsi="Times New Roman" w:cs="Times New Roman"/>
          <w:b/>
          <w:sz w:val="24"/>
          <w:szCs w:val="24"/>
        </w:rPr>
        <w:t>Članak 17.</w:t>
      </w:r>
    </w:p>
    <w:p w14:paraId="49BC5D4F">
      <w:pPr>
        <w:pStyle w:val="10"/>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Otvaranje ponuda u postupcima jednostavne nabave nije javno.</w:t>
      </w:r>
    </w:p>
    <w:p w14:paraId="5A5483BA">
      <w:pPr>
        <w:pStyle w:val="10"/>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pPr>
        <w:pStyle w:val="10"/>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pPr>
        <w:pStyle w:val="10"/>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 pregledu i ocjeni ponuda sastavlja se zapisnik.</w:t>
      </w:r>
    </w:p>
    <w:p w14:paraId="7E1006F1">
      <w:pPr>
        <w:pStyle w:val="10"/>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Zapisnik potpisuju članovi povjerenstva, odnosno osoba zadužena za pripremu i provedbu postupka.</w:t>
      </w:r>
    </w:p>
    <w:p w14:paraId="2097EC40">
      <w:pPr>
        <w:spacing w:after="0"/>
        <w:jc w:val="both"/>
        <w:rPr>
          <w:rFonts w:ascii="Times New Roman" w:hAnsi="Times New Roman" w:cs="Times New Roman"/>
          <w:sz w:val="24"/>
          <w:szCs w:val="24"/>
        </w:rPr>
      </w:pPr>
    </w:p>
    <w:p w14:paraId="24715D5A">
      <w:pPr>
        <w:spacing w:after="0"/>
        <w:jc w:val="both"/>
        <w:rPr>
          <w:rFonts w:ascii="Times New Roman" w:hAnsi="Times New Roman" w:cs="Times New Roman"/>
          <w:sz w:val="24"/>
          <w:szCs w:val="24"/>
        </w:rPr>
      </w:pPr>
    </w:p>
    <w:p w14:paraId="0DBFE0D8">
      <w:pPr>
        <w:spacing w:after="0"/>
        <w:jc w:val="both"/>
        <w:rPr>
          <w:rFonts w:ascii="Times New Roman" w:hAnsi="Times New Roman" w:cs="Times New Roman"/>
          <w:sz w:val="24"/>
          <w:szCs w:val="24"/>
        </w:rPr>
      </w:pPr>
    </w:p>
    <w:p w14:paraId="3D0C3A62">
      <w:pPr>
        <w:spacing w:after="0"/>
        <w:jc w:val="both"/>
        <w:rPr>
          <w:rFonts w:ascii="Times New Roman" w:hAnsi="Times New Roman" w:cs="Times New Roman"/>
          <w:sz w:val="24"/>
          <w:szCs w:val="24"/>
        </w:rPr>
      </w:pPr>
    </w:p>
    <w:p w14:paraId="4475E005">
      <w:pPr>
        <w:spacing w:after="0"/>
        <w:jc w:val="both"/>
        <w:rPr>
          <w:rFonts w:ascii="Times New Roman" w:hAnsi="Times New Roman" w:cs="Times New Roman"/>
          <w:sz w:val="24"/>
          <w:szCs w:val="24"/>
        </w:rPr>
      </w:pPr>
    </w:p>
    <w:p w14:paraId="57FC1342">
      <w:pPr>
        <w:spacing w:after="0"/>
        <w:jc w:val="both"/>
        <w:rPr>
          <w:rFonts w:ascii="Times New Roman" w:hAnsi="Times New Roman" w:cs="Times New Roman"/>
          <w:sz w:val="24"/>
          <w:szCs w:val="24"/>
        </w:rPr>
      </w:pPr>
    </w:p>
    <w:p w14:paraId="1137C6EF">
      <w:pPr>
        <w:spacing w:after="0"/>
        <w:jc w:val="center"/>
        <w:rPr>
          <w:rFonts w:ascii="Times New Roman" w:hAnsi="Times New Roman" w:cs="Times New Roman"/>
          <w:sz w:val="24"/>
          <w:szCs w:val="24"/>
        </w:rPr>
      </w:pPr>
      <w:r>
        <w:rPr>
          <w:rFonts w:ascii="Times New Roman" w:hAnsi="Times New Roman" w:cs="Times New Roman"/>
          <w:b/>
          <w:sz w:val="24"/>
          <w:szCs w:val="24"/>
        </w:rPr>
        <w:t>Članak 18.</w:t>
      </w:r>
    </w:p>
    <w:p w14:paraId="23D76BEF">
      <w:pPr>
        <w:pStyle w:val="10"/>
        <w:numPr>
          <w:ilvl w:val="0"/>
          <w:numId w:val="1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Kriterij za odabir ponude može biti najniža cijena ili ekonomski najpovoljnija ponuda.</w:t>
      </w:r>
    </w:p>
    <w:p w14:paraId="1A5470A4">
      <w:pPr>
        <w:pStyle w:val="10"/>
        <w:numPr>
          <w:ilvl w:val="0"/>
          <w:numId w:val="1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pPr>
        <w:pStyle w:val="10"/>
        <w:numPr>
          <w:ilvl w:val="0"/>
          <w:numId w:val="1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Kriteriji za odabir moraju biti povezani s predmetom nabave, objektivni, provjerljivi i nediskriminirajući.</w:t>
      </w:r>
    </w:p>
    <w:p w14:paraId="13CEFDDF">
      <w:pPr>
        <w:spacing w:after="0"/>
        <w:jc w:val="both"/>
        <w:rPr>
          <w:rFonts w:ascii="Times New Roman" w:hAnsi="Times New Roman" w:cs="Times New Roman"/>
          <w:sz w:val="24"/>
          <w:szCs w:val="24"/>
        </w:rPr>
      </w:pPr>
    </w:p>
    <w:p w14:paraId="06EE1833">
      <w:pPr>
        <w:spacing w:after="0"/>
        <w:jc w:val="center"/>
        <w:rPr>
          <w:rFonts w:ascii="Times New Roman" w:hAnsi="Times New Roman" w:cs="Times New Roman"/>
          <w:sz w:val="24"/>
          <w:szCs w:val="24"/>
        </w:rPr>
      </w:pPr>
      <w:r>
        <w:rPr>
          <w:rFonts w:ascii="Times New Roman" w:hAnsi="Times New Roman" w:cs="Times New Roman"/>
          <w:b/>
          <w:sz w:val="24"/>
          <w:szCs w:val="24"/>
        </w:rPr>
        <w:t>Članak 19.</w:t>
      </w:r>
    </w:p>
    <w:p w14:paraId="77231B3D">
      <w:pPr>
        <w:pStyle w:val="10"/>
        <w:numPr>
          <w:ilvl w:val="0"/>
          <w:numId w:val="1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Nakon pregleda i ocjene ponuda, ravnatelj donosi odluku o odabiru najpovoljnije ponude ili odluku o poništenju postupka, osim kod nabava do 15.000,00 € bez PDV–a, kod kojih odabir može biti dokumentiran narudžbenicom ili ugovorom.</w:t>
      </w:r>
    </w:p>
    <w:p w14:paraId="18D8F4A4">
      <w:pPr>
        <w:pStyle w:val="10"/>
        <w:numPr>
          <w:ilvl w:val="0"/>
          <w:numId w:val="1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Odluka o odabiru osobito sadržava podatke o naručitelju, predmetu nabave, odabranom ponuditelju, cijeni odabrane ponude, razlozima odabira i uputu o pravu na prigovor ako je riječ o nabavi procijenjene vrijednosti veće od 15.000,00 € bez PDV–a.</w:t>
      </w:r>
    </w:p>
    <w:p w14:paraId="562DE642">
      <w:pPr>
        <w:pStyle w:val="10"/>
        <w:numPr>
          <w:ilvl w:val="0"/>
          <w:numId w:val="1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Odluka o poništenju osobito sadržava razloge poništenja postupka i uputu o pravu na prigovor ako je riječ o nabavi procijenjene vrijednosti veće od 15.000,00 € bez PDV–a.</w:t>
      </w:r>
    </w:p>
    <w:p w14:paraId="39E75209">
      <w:pPr>
        <w:pStyle w:val="10"/>
        <w:numPr>
          <w:ilvl w:val="0"/>
          <w:numId w:val="1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Odluka o odabiru ili poništenju dostavlja se ponuditeljima putem EOJN kada se postupak provodi kroz modul jednostavne nabave, odnosno drugim prikladnim načinom kod nabava koje se ne provode kroz EOJN.</w:t>
      </w:r>
    </w:p>
    <w:p w14:paraId="7A42F7DC">
      <w:pPr>
        <w:spacing w:after="0"/>
        <w:jc w:val="both"/>
        <w:rPr>
          <w:rFonts w:ascii="Times New Roman" w:hAnsi="Times New Roman" w:cs="Times New Roman"/>
          <w:sz w:val="24"/>
          <w:szCs w:val="24"/>
        </w:rPr>
      </w:pPr>
    </w:p>
    <w:p w14:paraId="762BB5E5">
      <w:pPr>
        <w:spacing w:after="0"/>
        <w:jc w:val="center"/>
        <w:rPr>
          <w:rFonts w:ascii="Times New Roman" w:hAnsi="Times New Roman" w:cs="Times New Roman"/>
          <w:sz w:val="24"/>
          <w:szCs w:val="24"/>
        </w:rPr>
      </w:pPr>
      <w:r>
        <w:rPr>
          <w:rFonts w:ascii="Times New Roman" w:hAnsi="Times New Roman" w:cs="Times New Roman"/>
          <w:b/>
          <w:sz w:val="24"/>
          <w:szCs w:val="24"/>
        </w:rPr>
        <w:t>Članak 20.</w:t>
      </w:r>
    </w:p>
    <w:p w14:paraId="05EDFF84">
      <w:pPr>
        <w:spacing w:after="0"/>
        <w:jc w:val="both"/>
        <w:rPr>
          <w:rFonts w:ascii="Times New Roman" w:hAnsi="Times New Roman" w:cs="Times New Roman"/>
          <w:sz w:val="24"/>
          <w:szCs w:val="24"/>
        </w:rPr>
      </w:pPr>
      <w:r>
        <w:rPr>
          <w:rFonts w:ascii="Times New Roman" w:hAnsi="Times New Roman" w:cs="Times New Roman"/>
          <w:sz w:val="24"/>
          <w:szCs w:val="24"/>
        </w:rPr>
        <w:t>Škola može poništiti postupak jednostavne nabave osobito ako:</w:t>
      </w:r>
    </w:p>
    <w:p w14:paraId="16701F08">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nije zaprimljena nijedna ponuda,</w:t>
      </w:r>
    </w:p>
    <w:p w14:paraId="66633299">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nijedna zaprimljena ponuda nije valjana ili prihvatljiva,</w:t>
      </w:r>
    </w:p>
    <w:p w14:paraId="0698F65F">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cijena najpovoljnije ponude prelazi osigurana sredstva ili procijenjenu vrijednost nabave, a škola ne može ili ne želi osigurati dodatna sredstva,</w:t>
      </w:r>
    </w:p>
    <w:p w14:paraId="3530455F">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prestala je potreba za predmetom nabave,</w:t>
      </w:r>
    </w:p>
    <w:p w14:paraId="17E22375">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postale su poznate okolnosti zbog kojih ne bi došlo do pokretanja postupka da su bile poznate prije pokretanja postupka,</w:t>
      </w:r>
    </w:p>
    <w:p w14:paraId="59770017">
      <w:pPr>
        <w:pStyle w:val="10"/>
        <w:numPr>
          <w:ilvl w:val="0"/>
          <w:numId w:val="20"/>
        </w:numPr>
        <w:spacing w:after="0"/>
        <w:ind w:left="426" w:hanging="284"/>
        <w:jc w:val="both"/>
        <w:rPr>
          <w:rFonts w:ascii="Times New Roman" w:hAnsi="Times New Roman" w:cs="Times New Roman"/>
          <w:sz w:val="24"/>
          <w:szCs w:val="24"/>
        </w:rPr>
      </w:pPr>
      <w:r>
        <w:rPr>
          <w:rFonts w:ascii="Times New Roman" w:hAnsi="Times New Roman" w:cs="Times New Roman"/>
          <w:sz w:val="24"/>
          <w:szCs w:val="24"/>
        </w:rPr>
        <w:t>utvrđena je bitna nepravilnost u dokumentaciji ili provedbi postupka,</w:t>
      </w:r>
    </w:p>
    <w:p w14:paraId="5C368222">
      <w:pPr>
        <w:pStyle w:val="10"/>
        <w:numPr>
          <w:ilvl w:val="0"/>
          <w:numId w:val="20"/>
        </w:numPr>
        <w:spacing w:after="0"/>
        <w:ind w:left="426" w:hanging="284"/>
        <w:jc w:val="both"/>
        <w:rPr>
          <w:rFonts w:ascii="Times New Roman" w:hAnsi="Times New Roman"/>
          <w:sz w:val="24"/>
          <w:szCs w:val="24"/>
        </w:rPr>
      </w:pPr>
      <w:r>
        <w:rPr>
          <w:rFonts w:ascii="Times New Roman" w:hAnsi="Times New Roman" w:cs="Times New Roman"/>
          <w:sz w:val="24"/>
          <w:szCs w:val="24"/>
        </w:rPr>
        <w:t>poništenje je potrebno radi zaštite javnog interesa, zakonitosti ili ekonomičnog trošenja sredstava.</w:t>
      </w:r>
    </w:p>
    <w:p w14:paraId="632D28A8">
      <w:pPr>
        <w:spacing w:after="0"/>
        <w:jc w:val="both"/>
        <w:rPr>
          <w:rFonts w:ascii="Times New Roman" w:hAnsi="Times New Roman"/>
          <w:sz w:val="24"/>
          <w:szCs w:val="24"/>
        </w:rPr>
      </w:pPr>
    </w:p>
    <w:p w14:paraId="7D897BC0">
      <w:pPr>
        <w:pStyle w:val="2"/>
        <w:spacing w:before="0"/>
        <w:jc w:val="both"/>
        <w:rPr>
          <w:rFonts w:ascii="Times New Roman" w:hAnsi="Times New Roman"/>
          <w:sz w:val="24"/>
          <w:szCs w:val="24"/>
        </w:rPr>
      </w:pPr>
      <w:r>
        <w:rPr>
          <w:rFonts w:ascii="Times New Roman" w:hAnsi="Times New Roman"/>
          <w:sz w:val="24"/>
          <w:szCs w:val="24"/>
        </w:rPr>
        <w:t>PRIGOVOR I PRAVNA ZAŠTITA</w:t>
      </w:r>
    </w:p>
    <w:p w14:paraId="1E5D6BE3">
      <w:pPr>
        <w:spacing w:after="0"/>
      </w:pPr>
    </w:p>
    <w:p w14:paraId="0100B61D">
      <w:pPr>
        <w:spacing w:after="0"/>
        <w:jc w:val="center"/>
        <w:rPr>
          <w:rFonts w:ascii="Times New Roman" w:hAnsi="Times New Roman" w:cs="Times New Roman"/>
          <w:sz w:val="24"/>
          <w:szCs w:val="24"/>
        </w:rPr>
      </w:pPr>
      <w:r>
        <w:rPr>
          <w:rFonts w:ascii="Times New Roman" w:hAnsi="Times New Roman" w:cs="Times New Roman"/>
          <w:b/>
          <w:sz w:val="24"/>
          <w:szCs w:val="24"/>
        </w:rPr>
        <w:t>Članak 21.</w:t>
      </w:r>
    </w:p>
    <w:p w14:paraId="1357376D">
      <w:pPr>
        <w:pStyle w:val="10"/>
        <w:numPr>
          <w:ilvl w:val="0"/>
          <w:numId w:val="2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Za postupke jednostavne nabave čija je procijenjena vrijednost veća od 15.000,00 € bez PDV–a gospodarski subjekt ima pravo podnijeti prigovor ravnatelju škole kao odgovornoj osobi naručitelja.</w:t>
      </w:r>
    </w:p>
    <w:p w14:paraId="13F60F9E">
      <w:pPr>
        <w:pStyle w:val="10"/>
        <w:numPr>
          <w:ilvl w:val="0"/>
          <w:numId w:val="2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w:t>
      </w:r>
    </w:p>
    <w:p w14:paraId="6441B61A">
      <w:pPr>
        <w:pStyle w:val="10"/>
        <w:numPr>
          <w:ilvl w:val="0"/>
          <w:numId w:val="2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Prigovor nije dopušten u postupcima jednostavne nabave procijenjene vrijednosti jednake ili manje od 15.000,00 € bez PDV–a, osim ako škola u pojedinom postupku ne odredi drukčije.</w:t>
      </w:r>
    </w:p>
    <w:p w14:paraId="26E8C19D">
      <w:pPr>
        <w:spacing w:after="0"/>
        <w:jc w:val="both"/>
        <w:rPr>
          <w:rFonts w:ascii="Times New Roman" w:hAnsi="Times New Roman" w:cs="Times New Roman"/>
          <w:sz w:val="24"/>
          <w:szCs w:val="24"/>
        </w:rPr>
      </w:pPr>
    </w:p>
    <w:p w14:paraId="47F3E574">
      <w:pPr>
        <w:spacing w:after="0"/>
        <w:jc w:val="center"/>
        <w:rPr>
          <w:rFonts w:ascii="Times New Roman" w:hAnsi="Times New Roman" w:cs="Times New Roman"/>
          <w:sz w:val="24"/>
          <w:szCs w:val="24"/>
        </w:rPr>
      </w:pPr>
      <w:r>
        <w:rPr>
          <w:rFonts w:ascii="Times New Roman" w:hAnsi="Times New Roman" w:cs="Times New Roman"/>
          <w:b/>
          <w:sz w:val="24"/>
          <w:szCs w:val="24"/>
        </w:rPr>
        <w:t>Članak 22.</w:t>
      </w:r>
    </w:p>
    <w:p w14:paraId="72B65D18">
      <w:pPr>
        <w:pStyle w:val="10"/>
        <w:numPr>
          <w:ilvl w:val="0"/>
          <w:numId w:val="22"/>
        </w:numPr>
        <w:spacing w:after="0"/>
        <w:ind w:left="426" w:hanging="426"/>
        <w:jc w:val="both"/>
        <w:rPr>
          <w:rFonts w:ascii="Times New Roman" w:hAnsi="Times New Roman" w:cs="Times New Roman"/>
          <w:color w:val="00B050"/>
          <w:sz w:val="24"/>
          <w:szCs w:val="24"/>
        </w:rPr>
      </w:pPr>
      <w:r>
        <w:rPr>
          <w:rFonts w:ascii="Times New Roman" w:hAnsi="Times New Roman" w:cs="Times New Roman"/>
          <w:sz w:val="24"/>
          <w:szCs w:val="24"/>
        </w:rPr>
        <w:t>Prigovor se podnosi u pisanom obliku, putem EOJN ako se postupak provodi kroz modul jednostavne nabave, odnosno elektroničkom poštom.</w:t>
      </w:r>
    </w:p>
    <w:p w14:paraId="591E4645">
      <w:pPr>
        <w:pStyle w:val="10"/>
        <w:numPr>
          <w:ilvl w:val="0"/>
          <w:numId w:val="22"/>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Prigovor se podnosi u roku od pet radnih dana od dana objave ili dostave akta, odnosno od dana saznanja za radnju ili propuštanje na koje se prigovor odnosi.</w:t>
      </w:r>
    </w:p>
    <w:p w14:paraId="7495C941">
      <w:pPr>
        <w:pStyle w:val="10"/>
        <w:numPr>
          <w:ilvl w:val="0"/>
          <w:numId w:val="22"/>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Prigovor mora sadržavati podatke o podnositelju prigovora, naziv i evidencijski broj nabave, opis radnje ili odluke na koju se prigovor odnosi, razloge prigovora, prijedlog postupanja škole i potpis ovlaštene osobe podnositelja prigovora.</w:t>
      </w:r>
    </w:p>
    <w:p w14:paraId="11522D7D">
      <w:pPr>
        <w:spacing w:after="0"/>
        <w:jc w:val="both"/>
        <w:rPr>
          <w:rFonts w:ascii="Times New Roman" w:hAnsi="Times New Roman" w:cs="Times New Roman"/>
          <w:sz w:val="24"/>
          <w:szCs w:val="24"/>
        </w:rPr>
      </w:pPr>
    </w:p>
    <w:p w14:paraId="3156BE52">
      <w:pPr>
        <w:spacing w:after="0"/>
        <w:jc w:val="center"/>
        <w:rPr>
          <w:rFonts w:ascii="Times New Roman" w:hAnsi="Times New Roman" w:cs="Times New Roman"/>
          <w:sz w:val="24"/>
          <w:szCs w:val="24"/>
        </w:rPr>
      </w:pPr>
      <w:r>
        <w:rPr>
          <w:rFonts w:ascii="Times New Roman" w:hAnsi="Times New Roman" w:cs="Times New Roman"/>
          <w:b/>
          <w:sz w:val="24"/>
          <w:szCs w:val="24"/>
        </w:rPr>
        <w:t>Članak 23.</w:t>
      </w:r>
    </w:p>
    <w:p w14:paraId="67D0256E">
      <w:pPr>
        <w:pStyle w:val="10"/>
        <w:numPr>
          <w:ilvl w:val="0"/>
          <w:numId w:val="2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Ravnatelj odlučuje o prigovoru u roku od deset radnih dana od dana zaprimanja urednog prigovora.</w:t>
      </w:r>
    </w:p>
    <w:p w14:paraId="3738DE67">
      <w:pPr>
        <w:pStyle w:val="10"/>
        <w:numPr>
          <w:ilvl w:val="0"/>
          <w:numId w:val="2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pPr>
        <w:pStyle w:val="10"/>
        <w:numPr>
          <w:ilvl w:val="0"/>
          <w:numId w:val="2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Podneseni prigovor odgađa sklapanje ugovora ili izdavanje narudžbenice do donošenja odluke o prigovoru, osim ako je zbog iznimne žurnosti, zaštite sigurnosti, sprječavanja štete ili drugog osobito opravdanog razloga potrebno nastaviti postupak.</w:t>
      </w:r>
    </w:p>
    <w:p w14:paraId="20C54864">
      <w:pPr>
        <w:pStyle w:val="10"/>
        <w:numPr>
          <w:ilvl w:val="0"/>
          <w:numId w:val="2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Odluka o prigovoru dostavlja se podnositelju prigovora putem elektroničke pošte ili putem modula EOJN.</w:t>
      </w:r>
    </w:p>
    <w:p w14:paraId="3F6CBB02">
      <w:pPr>
        <w:spacing w:after="0"/>
        <w:jc w:val="both"/>
        <w:rPr>
          <w:rFonts w:ascii="Times New Roman" w:hAnsi="Times New Roman" w:cs="Times New Roman"/>
          <w:sz w:val="24"/>
          <w:szCs w:val="24"/>
        </w:rPr>
      </w:pPr>
    </w:p>
    <w:p w14:paraId="5686242B">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24.</w:t>
      </w:r>
    </w:p>
    <w:p w14:paraId="6FF4988D">
      <w:pPr>
        <w:pStyle w:val="10"/>
        <w:numPr>
          <w:ilvl w:val="0"/>
          <w:numId w:val="2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Podnositelj može odustati od prigovora sve do donošenja odluke o prigovoru.</w:t>
      </w:r>
    </w:p>
    <w:p w14:paraId="158D3FE1">
      <w:pPr>
        <w:pStyle w:val="10"/>
        <w:numPr>
          <w:ilvl w:val="0"/>
          <w:numId w:val="2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Odustanak od prigovora podnosi se u pisanom obliku.</w:t>
      </w:r>
    </w:p>
    <w:p w14:paraId="1C8923F6">
      <w:pPr>
        <w:pStyle w:val="10"/>
        <w:numPr>
          <w:ilvl w:val="0"/>
          <w:numId w:val="2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U slučaju odustanka od prigovora, ravnatelj donosi odluku o obustavi postupka povodom prigovora.</w:t>
      </w:r>
    </w:p>
    <w:p w14:paraId="4B76F57A">
      <w:pPr>
        <w:spacing w:after="0"/>
        <w:jc w:val="both"/>
        <w:rPr>
          <w:rFonts w:ascii="Times New Roman" w:hAnsi="Times New Roman" w:cs="Times New Roman"/>
          <w:sz w:val="24"/>
          <w:szCs w:val="24"/>
        </w:rPr>
      </w:pPr>
    </w:p>
    <w:p w14:paraId="12D1BEC8">
      <w:pPr>
        <w:spacing w:after="0"/>
        <w:jc w:val="both"/>
        <w:rPr>
          <w:rFonts w:ascii="Times New Roman" w:hAnsi="Times New Roman" w:cs="Times New Roman"/>
          <w:b/>
          <w:bCs/>
          <w:sz w:val="24"/>
          <w:szCs w:val="24"/>
        </w:rPr>
      </w:pPr>
      <w:r>
        <w:rPr>
          <w:rFonts w:ascii="Times New Roman" w:hAnsi="Times New Roman" w:cs="Times New Roman"/>
          <w:b/>
          <w:bCs/>
          <w:sz w:val="24"/>
          <w:szCs w:val="24"/>
        </w:rPr>
        <w:t>SUKOB INTERESA</w:t>
      </w:r>
    </w:p>
    <w:p w14:paraId="1C6D9E05">
      <w:pPr>
        <w:spacing w:after="0"/>
        <w:jc w:val="both"/>
        <w:rPr>
          <w:rFonts w:ascii="Times New Roman" w:hAnsi="Times New Roman" w:cs="Times New Roman"/>
          <w:b/>
          <w:bCs/>
          <w:sz w:val="24"/>
          <w:szCs w:val="24"/>
        </w:rPr>
      </w:pPr>
    </w:p>
    <w:p w14:paraId="48EE72EB">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25.</w:t>
      </w:r>
    </w:p>
    <w:p w14:paraId="58180A2A">
      <w:pPr>
        <w:spacing w:after="0"/>
        <w:jc w:val="both"/>
        <w:rPr>
          <w:rFonts w:ascii="Times New Roman" w:hAnsi="Times New Roman" w:cs="Times New Roman"/>
          <w:sz w:val="24"/>
          <w:szCs w:val="24"/>
        </w:rPr>
      </w:pPr>
      <w:r>
        <w:rPr>
          <w:rFonts w:ascii="Times New Roman" w:hAnsi="Times New Roman" w:cs="Times New Roman"/>
          <w:sz w:val="24"/>
          <w:szCs w:val="24"/>
        </w:rPr>
        <w:t>Škola je obvezna poduzeti prikladne mjere kojima se učinkovito sprječavaju, prepoznaju i uklanjaju sukobi interesa u vezi s postupkom jednostavne nabave kako bi se izbjeglo narušavanje tržišnog natjecanja i osiguralo jednako postupanje prema svim gospodarskim subjektima.</w:t>
      </w:r>
    </w:p>
    <w:p w14:paraId="1B779A47">
      <w:pPr>
        <w:spacing w:after="0"/>
        <w:jc w:val="both"/>
        <w:rPr>
          <w:rFonts w:ascii="Times New Roman" w:hAnsi="Times New Roman" w:cs="Times New Roman"/>
          <w:sz w:val="24"/>
          <w:szCs w:val="24"/>
        </w:rPr>
      </w:pPr>
    </w:p>
    <w:p w14:paraId="3173DB6F">
      <w:pPr>
        <w:spacing w:after="0"/>
        <w:jc w:val="both"/>
        <w:rPr>
          <w:rFonts w:ascii="Times New Roman" w:hAnsi="Times New Roman" w:cs="Times New Roman"/>
          <w:sz w:val="24"/>
          <w:szCs w:val="24"/>
        </w:rPr>
      </w:pPr>
    </w:p>
    <w:p w14:paraId="123F70D4">
      <w:pPr>
        <w:spacing w:after="0"/>
        <w:jc w:val="both"/>
        <w:rPr>
          <w:rFonts w:ascii="Times New Roman" w:hAnsi="Times New Roman" w:cs="Times New Roman"/>
          <w:sz w:val="24"/>
          <w:szCs w:val="24"/>
        </w:rPr>
      </w:pPr>
    </w:p>
    <w:p w14:paraId="4D26207D">
      <w:pPr>
        <w:spacing w:after="0"/>
        <w:jc w:val="both"/>
        <w:rPr>
          <w:rFonts w:ascii="Times New Roman" w:hAnsi="Times New Roman" w:cs="Times New Roman"/>
          <w:sz w:val="24"/>
          <w:szCs w:val="24"/>
        </w:rPr>
      </w:pPr>
    </w:p>
    <w:p w14:paraId="3F423E27">
      <w:pPr>
        <w:spacing w:after="0"/>
        <w:jc w:val="both"/>
        <w:rPr>
          <w:rFonts w:ascii="Times New Roman" w:hAnsi="Times New Roman" w:cs="Times New Roman"/>
          <w:sz w:val="24"/>
          <w:szCs w:val="24"/>
        </w:rPr>
      </w:pPr>
    </w:p>
    <w:p w14:paraId="0D45C84E">
      <w:pPr>
        <w:spacing w:after="0"/>
        <w:jc w:val="both"/>
        <w:rPr>
          <w:rFonts w:ascii="Times New Roman" w:hAnsi="Times New Roman" w:cs="Times New Roman"/>
          <w:sz w:val="24"/>
          <w:szCs w:val="24"/>
        </w:rPr>
      </w:pPr>
    </w:p>
    <w:p w14:paraId="346F13DD">
      <w:pPr>
        <w:spacing w:after="0"/>
        <w:jc w:val="both"/>
        <w:rPr>
          <w:rFonts w:ascii="Times New Roman" w:hAnsi="Times New Roman" w:cs="Times New Roman"/>
          <w:sz w:val="24"/>
          <w:szCs w:val="24"/>
        </w:rPr>
      </w:pPr>
    </w:p>
    <w:p w14:paraId="388DB0AC">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26.</w:t>
      </w:r>
    </w:p>
    <w:p w14:paraId="2EBF7893">
      <w:pPr>
        <w:pStyle w:val="10"/>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Sukob interesa između škole i gospodarskog subjekta obuhvaća situacije kada predstavnici škole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14:paraId="02815AD3">
      <w:pPr>
        <w:pStyle w:val="10"/>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 xml:space="preserve">ako predstavnik škole istodobno obavlja upravljačke poslove u gospodarskom subjektu, </w:t>
      </w:r>
    </w:p>
    <w:p w14:paraId="378605B4">
      <w:pPr>
        <w:pStyle w:val="10"/>
        <w:numPr>
          <w:ilvl w:val="0"/>
          <w:numId w:val="26"/>
        </w:numPr>
        <w:spacing w:after="0"/>
        <w:jc w:val="both"/>
        <w:rPr>
          <w:rFonts w:ascii="Times New Roman" w:hAnsi="Times New Roman" w:cs="Times New Roman"/>
          <w:sz w:val="24"/>
          <w:szCs w:val="24"/>
        </w:rPr>
      </w:pPr>
      <w:r>
        <w:rPr>
          <w:rFonts w:ascii="Times New Roman" w:hAnsi="Times New Roman" w:cs="Times New Roman"/>
          <w:sz w:val="24"/>
          <w:szCs w:val="24"/>
        </w:rPr>
        <w:t>ako je predstavnik škole vlasnik poslovnog udjela, dionica odnosno drugih prava na temelju kojih sudjeluje u upravljanju odnosno u kapitalu tog gospodarskog subjekta s više od 0,5 %.</w:t>
      </w:r>
    </w:p>
    <w:p w14:paraId="2B9594F3">
      <w:pPr>
        <w:pStyle w:val="10"/>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Predstavnikom škole u smislu ovoga članka smatra se:</w:t>
      </w:r>
    </w:p>
    <w:p w14:paraId="247FEE7E">
      <w:pPr>
        <w:pStyle w:val="10"/>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5AED24CC">
      <w:pPr>
        <w:pStyle w:val="10"/>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član Školskog odbora,</w:t>
      </w:r>
    </w:p>
    <w:p w14:paraId="56A99BD2">
      <w:pPr>
        <w:pStyle w:val="10"/>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član povjerenstva za javnu nabavu,</w:t>
      </w:r>
    </w:p>
    <w:p w14:paraId="43CBAED7">
      <w:pPr>
        <w:pStyle w:val="10"/>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druga osoba koja je uključena u provedbu ili koja može utjecati na odlučivanje u postupku javne nabave, </w:t>
      </w:r>
    </w:p>
    <w:p w14:paraId="77FF48FE">
      <w:pPr>
        <w:pStyle w:val="10"/>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osobe iz podstavka 1., 2. i 3. ovoga stavka kod pružatelja usluga nabave koji djeluju u ime naručitelja.</w:t>
      </w:r>
    </w:p>
    <w:p w14:paraId="17A01EC7">
      <w:pPr>
        <w:pStyle w:val="10"/>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74C97E59">
      <w:pPr>
        <w:spacing w:after="0"/>
        <w:jc w:val="both"/>
        <w:rPr>
          <w:rFonts w:ascii="Times New Roman" w:hAnsi="Times New Roman" w:cs="Times New Roman"/>
          <w:sz w:val="24"/>
          <w:szCs w:val="24"/>
        </w:rPr>
      </w:pPr>
    </w:p>
    <w:p w14:paraId="7101162A">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27.</w:t>
      </w:r>
    </w:p>
    <w:p w14:paraId="51BC3095">
      <w:pPr>
        <w:pStyle w:val="10"/>
        <w:numPr>
          <w:ilvl w:val="0"/>
          <w:numId w:val="28"/>
        </w:numPr>
        <w:spacing w:after="0"/>
        <w:ind w:left="426" w:hanging="426"/>
        <w:jc w:val="both"/>
        <w:rPr>
          <w:rFonts w:ascii="Times New Roman" w:hAnsi="Times New Roman" w:cs="Times New Roman"/>
          <w:sz w:val="24"/>
          <w:szCs w:val="24"/>
        </w:rPr>
      </w:pPr>
      <w:bookmarkStart w:id="1" w:name="_Hlk232349615"/>
      <w:r>
        <w:rPr>
          <w:rFonts w:ascii="Times New Roman" w:hAnsi="Times New Roman" w:cs="Times New Roman"/>
          <w:sz w:val="24"/>
          <w:szCs w:val="24"/>
        </w:rPr>
        <w:t>Odredba članka 26. ovoga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pPr>
        <w:pStyle w:val="10"/>
        <w:numPr>
          <w:ilvl w:val="0"/>
          <w:numId w:val="2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Prijenos udjela u vlasništvu na drugu osobu ili posebno tijelo (povjerenika) sukladno posebnim propisima o sprječavanju sukoba interesa ne utječe na sukob interesa u smislu članka 26. ovoga Pravilnika.</w:t>
      </w:r>
    </w:p>
    <w:p w14:paraId="1EA1E4B2">
      <w:pPr>
        <w:pStyle w:val="10"/>
        <w:numPr>
          <w:ilvl w:val="0"/>
          <w:numId w:val="28"/>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Iznimno, sukob interesa ne postoji ako predstavnik škole iz članka 26. ovoga Pravilnika ili s njim povezana osoba obavlja upravljačke poslove u gospodarskom subjektu po položaju, odnosno kao službeni predstavnik nekog naručitelja, a ne kao privatna osoba.</w:t>
      </w:r>
    </w:p>
    <w:bookmarkEnd w:id="1"/>
    <w:p w14:paraId="43CF417A">
      <w:pPr>
        <w:spacing w:after="0"/>
        <w:jc w:val="both"/>
        <w:rPr>
          <w:rFonts w:ascii="Times New Roman" w:hAnsi="Times New Roman" w:cs="Times New Roman"/>
          <w:sz w:val="24"/>
          <w:szCs w:val="24"/>
        </w:rPr>
      </w:pPr>
    </w:p>
    <w:p w14:paraId="010FC3BC">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28.</w:t>
      </w:r>
    </w:p>
    <w:p w14:paraId="54D4B1AD">
      <w:pPr>
        <w:pStyle w:val="10"/>
        <w:numPr>
          <w:ilvl w:val="0"/>
          <w:numId w:val="2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Predstavnici škole obvezni su potpisati izjavu o postojanju ili nepostojanju sukoba interesa te je ažurirati bez odgađanja ako nastupe promjene.</w:t>
      </w:r>
    </w:p>
    <w:p w14:paraId="7EB12465">
      <w:pPr>
        <w:pStyle w:val="10"/>
        <w:numPr>
          <w:ilvl w:val="0"/>
          <w:numId w:val="2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 je obvezna na temelju izjava svojih predstavnika na svojim internetskim stranicama objaviti popis gospodarskih subjekata s kojima je predstavnik škole ili s njime povezane osobe u sukobu interesa ili obavijest da takvi subjekti ne postoje te ga ažurirati bez odgađanja ako nastupe promjene i u dokumentaciji o nabavi za pojedini postupak jednostavne nabave navesti popis gospodarskih subjekata s kojima je predstavnik škole u sukobu interesa ili navesti da takvi subjekti ne postoje.</w:t>
      </w:r>
    </w:p>
    <w:p w14:paraId="37186F59">
      <w:pPr>
        <w:spacing w:after="0"/>
        <w:jc w:val="both"/>
        <w:rPr>
          <w:rFonts w:ascii="Times New Roman" w:hAnsi="Times New Roman" w:cs="Times New Roman"/>
          <w:sz w:val="24"/>
          <w:szCs w:val="24"/>
        </w:rPr>
      </w:pPr>
    </w:p>
    <w:p w14:paraId="23734719">
      <w:pPr>
        <w:spacing w:after="0"/>
        <w:jc w:val="both"/>
        <w:rPr>
          <w:rFonts w:ascii="Times New Roman" w:hAnsi="Times New Roman" w:cs="Times New Roman"/>
          <w:sz w:val="24"/>
          <w:szCs w:val="24"/>
        </w:rPr>
      </w:pPr>
    </w:p>
    <w:p w14:paraId="4C319A65">
      <w:pPr>
        <w:spacing w:after="0"/>
        <w:jc w:val="both"/>
        <w:rPr>
          <w:rFonts w:ascii="Times New Roman" w:hAnsi="Times New Roman" w:cs="Times New Roman"/>
          <w:sz w:val="24"/>
          <w:szCs w:val="24"/>
        </w:rPr>
      </w:pPr>
    </w:p>
    <w:p w14:paraId="3F7478D5">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29.</w:t>
      </w:r>
    </w:p>
    <w:p w14:paraId="724C5280">
      <w:pPr>
        <w:pStyle w:val="10"/>
        <w:numPr>
          <w:ilvl w:val="0"/>
          <w:numId w:val="30"/>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 sudjeluje u pripremi i provedbi postupka jednostavne nabave obvezan je prije početka rada na postupku, provjeriti postoje li okolnosti koje bi mogle predstavljati sukob interesa.</w:t>
      </w:r>
    </w:p>
    <w:p w14:paraId="7505F182">
      <w:pPr>
        <w:pStyle w:val="10"/>
        <w:numPr>
          <w:ilvl w:val="0"/>
          <w:numId w:val="30"/>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Ako se tijekom pripreme ili provedbe postupka utvrdi postojanje stvarnog, mogućeg ili prividnog sukoba interesa, predstavnik škole kod kojeg postoji sukob interesa dužan je izuzeti se iz daljnjeg postupka najkasnije sljedeći radni dan od dana saznanja za okolnost koja uzrokuje sukob interesa i o tome bez odgode obavijestiti ravnatelja.</w:t>
      </w:r>
    </w:p>
    <w:p w14:paraId="000EEF8F">
      <w:pPr>
        <w:pStyle w:val="10"/>
        <w:numPr>
          <w:ilvl w:val="0"/>
          <w:numId w:val="30"/>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Ravnatelj će u slučaju iz stavka 2. ovoga članka imenovati drugu osobu ili drugo povjerenstvo za provedbu postupka, ako je to potrebno radi zakonitog i nepristranog nastavka postupka.</w:t>
      </w:r>
    </w:p>
    <w:p w14:paraId="3E7AAA52">
      <w:pPr>
        <w:spacing w:after="0"/>
        <w:jc w:val="both"/>
        <w:rPr>
          <w:rFonts w:ascii="Times New Roman" w:hAnsi="Times New Roman" w:cs="Times New Roman"/>
          <w:sz w:val="24"/>
          <w:szCs w:val="24"/>
        </w:rPr>
      </w:pPr>
    </w:p>
    <w:p w14:paraId="679EED69">
      <w:pPr>
        <w:pStyle w:val="2"/>
        <w:spacing w:before="0"/>
        <w:jc w:val="both"/>
        <w:rPr>
          <w:rFonts w:ascii="Times New Roman" w:hAnsi="Times New Roman"/>
          <w:sz w:val="24"/>
          <w:szCs w:val="24"/>
        </w:rPr>
      </w:pPr>
      <w:r>
        <w:rPr>
          <w:rFonts w:ascii="Times New Roman" w:hAnsi="Times New Roman"/>
          <w:sz w:val="24"/>
          <w:szCs w:val="24"/>
        </w:rPr>
        <w:t>UGOVOR, NARUDŽBENICA I IZVRŠENJE</w:t>
      </w:r>
    </w:p>
    <w:p w14:paraId="5706C9F5">
      <w:pPr>
        <w:spacing w:after="0"/>
        <w:jc w:val="both"/>
        <w:rPr>
          <w:rFonts w:ascii="Times New Roman" w:hAnsi="Times New Roman" w:cs="Times New Roman"/>
          <w:b/>
          <w:sz w:val="24"/>
          <w:szCs w:val="24"/>
        </w:rPr>
      </w:pPr>
    </w:p>
    <w:p w14:paraId="3A7E9CA9">
      <w:pPr>
        <w:spacing w:after="0"/>
        <w:jc w:val="center"/>
        <w:rPr>
          <w:rFonts w:ascii="Times New Roman" w:hAnsi="Times New Roman" w:cs="Times New Roman"/>
          <w:sz w:val="24"/>
          <w:szCs w:val="24"/>
        </w:rPr>
      </w:pPr>
      <w:r>
        <w:rPr>
          <w:rFonts w:ascii="Times New Roman" w:hAnsi="Times New Roman" w:cs="Times New Roman"/>
          <w:b/>
          <w:sz w:val="24"/>
          <w:szCs w:val="24"/>
        </w:rPr>
        <w:t>Članak 30.</w:t>
      </w:r>
    </w:p>
    <w:p w14:paraId="264CE560">
      <w:pPr>
        <w:pStyle w:val="10"/>
        <w:numPr>
          <w:ilvl w:val="0"/>
          <w:numId w:val="3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 temelju provedenog postupka jednostavne nabave, škola sklapa ugovor o jednostavnoj nabavi ili izdaje narudžbenicu.</w:t>
      </w:r>
    </w:p>
    <w:p w14:paraId="6F084F84">
      <w:pPr>
        <w:pStyle w:val="10"/>
        <w:numPr>
          <w:ilvl w:val="0"/>
          <w:numId w:val="3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Narudžbenica ili ugovor osobito sadržava podatke o školi, gospodarskom subjektu, predmetu nabave, količini ili opsegu, cijeni, roku i mjestu isporuke ili izvršenja, roku plaćanja i drugim bitnim uvjetima nabave.</w:t>
      </w:r>
    </w:p>
    <w:p w14:paraId="2CDF6B46">
      <w:pPr>
        <w:pStyle w:val="10"/>
        <w:numPr>
          <w:ilvl w:val="0"/>
          <w:numId w:val="31"/>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pPr>
        <w:pStyle w:val="10"/>
        <w:numPr>
          <w:ilvl w:val="0"/>
          <w:numId w:val="31"/>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putem te potpisivati kvalificiranim elektroničkim potpisom sukladno posebnim propisima.</w:t>
      </w:r>
    </w:p>
    <w:bookmarkEnd w:id="2"/>
    <w:p w14:paraId="12231AB3">
      <w:pPr>
        <w:spacing w:after="0"/>
        <w:jc w:val="both"/>
        <w:rPr>
          <w:rFonts w:ascii="Times New Roman" w:hAnsi="Times New Roman" w:cs="Times New Roman"/>
          <w:sz w:val="24"/>
          <w:szCs w:val="24"/>
        </w:rPr>
      </w:pPr>
    </w:p>
    <w:p w14:paraId="67C3F654">
      <w:pPr>
        <w:spacing w:after="0"/>
        <w:jc w:val="center"/>
        <w:rPr>
          <w:rFonts w:ascii="Times New Roman" w:hAnsi="Times New Roman" w:cs="Times New Roman"/>
          <w:sz w:val="24"/>
          <w:szCs w:val="24"/>
        </w:rPr>
      </w:pPr>
      <w:r>
        <w:rPr>
          <w:rFonts w:ascii="Times New Roman" w:hAnsi="Times New Roman" w:cs="Times New Roman"/>
          <w:b/>
          <w:sz w:val="24"/>
          <w:szCs w:val="24"/>
        </w:rPr>
        <w:t>Članak 31.</w:t>
      </w:r>
    </w:p>
    <w:p w14:paraId="63CDE249">
      <w:pPr>
        <w:pStyle w:val="10"/>
        <w:numPr>
          <w:ilvl w:val="0"/>
          <w:numId w:val="32"/>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 zaduženi za praćenje izvršenja ugovora ili narudžbenice dužni su pratiti urednost, kvalitetu, količinu, rokove i cijenu izvršenja predmeta nabave.</w:t>
      </w:r>
    </w:p>
    <w:p w14:paraId="6C6EE854">
      <w:pPr>
        <w:pStyle w:val="10"/>
        <w:numPr>
          <w:ilvl w:val="0"/>
          <w:numId w:val="32"/>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 ili narudžbenicom.</w:t>
      </w:r>
    </w:p>
    <w:p w14:paraId="75D3C83D">
      <w:pPr>
        <w:pStyle w:val="10"/>
        <w:numPr>
          <w:ilvl w:val="0"/>
          <w:numId w:val="32"/>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Ako se utvrde nedostaci u izvršenju, škola je dužna od gospodarskog subjekta zatražiti otklanjanje nedostataka, zamjenu robe, umanjenje cijene ili naknadu štete, ovisno o prirodi nedostatka i ugovorenim uvjetima.</w:t>
      </w:r>
    </w:p>
    <w:p w14:paraId="58B5B163">
      <w:pPr>
        <w:spacing w:after="0"/>
        <w:jc w:val="both"/>
        <w:rPr>
          <w:rFonts w:ascii="Times New Roman" w:hAnsi="Times New Roman" w:cs="Times New Roman"/>
          <w:sz w:val="24"/>
          <w:szCs w:val="24"/>
        </w:rPr>
      </w:pPr>
    </w:p>
    <w:p w14:paraId="4D630C17">
      <w:pPr>
        <w:spacing w:after="0"/>
        <w:jc w:val="center"/>
        <w:rPr>
          <w:rFonts w:ascii="Times New Roman" w:hAnsi="Times New Roman" w:cs="Times New Roman"/>
          <w:sz w:val="24"/>
          <w:szCs w:val="24"/>
        </w:rPr>
      </w:pPr>
      <w:r>
        <w:rPr>
          <w:rFonts w:ascii="Times New Roman" w:hAnsi="Times New Roman" w:cs="Times New Roman"/>
          <w:b/>
          <w:sz w:val="24"/>
          <w:szCs w:val="24"/>
        </w:rPr>
        <w:t>Članak 32.</w:t>
      </w:r>
    </w:p>
    <w:p w14:paraId="6BD3A21F">
      <w:pPr>
        <w:pStyle w:val="10"/>
        <w:numPr>
          <w:ilvl w:val="0"/>
          <w:numId w:val="3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pPr>
        <w:pStyle w:val="10"/>
        <w:numPr>
          <w:ilvl w:val="0"/>
          <w:numId w:val="3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Iznimno, ugovor se može izmijeniti i kada je izmjena nužna zbog okolnosti koje škola nije mogla predvidjeti, pod uvjetom da se time ne mijenja priroda ugovora i da se ne izbjegava primjena propisa o javnoj nabavi.</w:t>
      </w:r>
    </w:p>
    <w:p w14:paraId="55370510">
      <w:pPr>
        <w:spacing w:after="0"/>
        <w:jc w:val="both"/>
        <w:rPr>
          <w:rFonts w:ascii="Times New Roman" w:hAnsi="Times New Roman" w:cs="Times New Roman"/>
          <w:sz w:val="24"/>
          <w:szCs w:val="24"/>
        </w:rPr>
      </w:pPr>
    </w:p>
    <w:p w14:paraId="6D2699B8">
      <w:pPr>
        <w:spacing w:after="0"/>
        <w:jc w:val="both"/>
        <w:rPr>
          <w:rFonts w:ascii="Times New Roman" w:hAnsi="Times New Roman" w:cs="Times New Roman"/>
          <w:sz w:val="24"/>
          <w:szCs w:val="24"/>
        </w:rPr>
      </w:pPr>
    </w:p>
    <w:p w14:paraId="54940C21">
      <w:pPr>
        <w:spacing w:after="0"/>
        <w:jc w:val="both"/>
        <w:rPr>
          <w:rFonts w:ascii="Times New Roman" w:hAnsi="Times New Roman" w:cs="Times New Roman"/>
          <w:sz w:val="24"/>
          <w:szCs w:val="24"/>
        </w:rPr>
      </w:pPr>
    </w:p>
    <w:p w14:paraId="3ACA1406">
      <w:pPr>
        <w:spacing w:after="0"/>
        <w:jc w:val="center"/>
        <w:rPr>
          <w:rFonts w:ascii="Times New Roman" w:hAnsi="Times New Roman" w:cs="Times New Roman"/>
          <w:sz w:val="24"/>
          <w:szCs w:val="24"/>
        </w:rPr>
      </w:pPr>
      <w:r>
        <w:rPr>
          <w:rFonts w:ascii="Times New Roman" w:hAnsi="Times New Roman" w:cs="Times New Roman"/>
          <w:b/>
          <w:sz w:val="24"/>
          <w:szCs w:val="24"/>
        </w:rPr>
        <w:t>Članak 33.</w:t>
      </w:r>
    </w:p>
    <w:p w14:paraId="756F0284">
      <w:pPr>
        <w:pStyle w:val="10"/>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pPr>
        <w:pStyle w:val="10"/>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Ako pojedina odredba ovoga Pravilnika postane protivna važećem Zakonu o javnoj nabavi ili drugom propisu, neposredno će se primijeniti važeći propis do izmjene ovoga Pravilnika.</w:t>
      </w:r>
    </w:p>
    <w:p w14:paraId="7B312022">
      <w:pPr>
        <w:spacing w:after="0"/>
        <w:jc w:val="both"/>
        <w:rPr>
          <w:rFonts w:ascii="Times New Roman" w:hAnsi="Times New Roman" w:cs="Times New Roman"/>
          <w:sz w:val="24"/>
          <w:szCs w:val="24"/>
        </w:rPr>
      </w:pPr>
    </w:p>
    <w:p w14:paraId="726F12C7">
      <w:pPr>
        <w:spacing w:after="0"/>
        <w:jc w:val="center"/>
        <w:rPr>
          <w:rFonts w:ascii="Times New Roman" w:hAnsi="Times New Roman" w:cs="Times New Roman"/>
          <w:b/>
          <w:bCs/>
          <w:sz w:val="24"/>
          <w:szCs w:val="24"/>
        </w:rPr>
      </w:pPr>
      <w:bookmarkStart w:id="3" w:name="_Hlk232863575"/>
      <w:r>
        <w:rPr>
          <w:rFonts w:ascii="Times New Roman" w:hAnsi="Times New Roman" w:cs="Times New Roman"/>
          <w:b/>
          <w:bCs/>
          <w:sz w:val="24"/>
          <w:szCs w:val="24"/>
        </w:rPr>
        <w:t>Članak 34.</w:t>
      </w:r>
    </w:p>
    <w:p w14:paraId="3FB3E288">
      <w:pPr>
        <w:pStyle w:val="10"/>
        <w:numPr>
          <w:ilvl w:val="0"/>
          <w:numId w:val="3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730647C6">
      <w:pPr>
        <w:pStyle w:val="10"/>
        <w:numPr>
          <w:ilvl w:val="0"/>
          <w:numId w:val="3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Odredba stavka 1. ovoga članka osobito se može primijeniti na nabavu i održavanje informacijskih sustava, školskih mreža, sustava e–Dnevnika, videonadzora, poslužiteljske i mrežne opreme, računalne opreme te drugih sustava i usluga povezanih s informacijskom i komunikacijskom tehnologijom.</w:t>
      </w:r>
    </w:p>
    <w:p w14:paraId="07D56893">
      <w:pPr>
        <w:pStyle w:val="10"/>
        <w:numPr>
          <w:ilvl w:val="0"/>
          <w:numId w:val="3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pPr>
        <w:spacing w:after="0"/>
        <w:jc w:val="both"/>
        <w:rPr>
          <w:rFonts w:ascii="Times New Roman" w:hAnsi="Times New Roman" w:cs="Times New Roman"/>
          <w:sz w:val="24"/>
          <w:szCs w:val="24"/>
        </w:rPr>
      </w:pPr>
    </w:p>
    <w:p w14:paraId="74149A15">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35.</w:t>
      </w:r>
    </w:p>
    <w:p w14:paraId="4BEFA0B5">
      <w:pPr>
        <w:spacing w:after="0"/>
        <w:jc w:val="both"/>
        <w:rPr>
          <w:rFonts w:ascii="Times New Roman" w:hAnsi="Times New Roman" w:cs="Times New Roman"/>
          <w:sz w:val="24"/>
          <w:szCs w:val="24"/>
        </w:rPr>
      </w:pPr>
      <w:r>
        <w:rPr>
          <w:rFonts w:ascii="Times New Roman" w:hAnsi="Times New Roman" w:cs="Times New Roman"/>
          <w:sz w:val="24"/>
          <w:szCs w:val="24"/>
        </w:rPr>
        <w:t>Dokumentacija o postupcima jednostavne nabave čuva se sukladno propisima o uredskom poslovanju, računovodstvu i arhivskom gradivu.</w:t>
      </w:r>
    </w:p>
    <w:bookmarkEnd w:id="3"/>
    <w:p w14:paraId="677874C6">
      <w:pPr>
        <w:spacing w:after="0"/>
        <w:jc w:val="both"/>
        <w:rPr>
          <w:rFonts w:ascii="Times New Roman" w:hAnsi="Times New Roman" w:cs="Times New Roman"/>
          <w:sz w:val="24"/>
          <w:szCs w:val="24"/>
        </w:rPr>
      </w:pPr>
    </w:p>
    <w:p w14:paraId="26AAB363">
      <w:pPr>
        <w:spacing w:after="0"/>
        <w:jc w:val="center"/>
        <w:rPr>
          <w:rFonts w:ascii="Times New Roman" w:hAnsi="Times New Roman" w:cs="Times New Roman"/>
          <w:sz w:val="24"/>
          <w:szCs w:val="24"/>
        </w:rPr>
      </w:pPr>
      <w:r>
        <w:rPr>
          <w:rFonts w:ascii="Times New Roman" w:hAnsi="Times New Roman" w:cs="Times New Roman"/>
          <w:b/>
          <w:sz w:val="24"/>
          <w:szCs w:val="24"/>
        </w:rPr>
        <w:t>Članak 36.</w:t>
      </w:r>
    </w:p>
    <w:p w14:paraId="7DB09A54">
      <w:pPr>
        <w:spacing w:after="0"/>
        <w:jc w:val="both"/>
        <w:rPr>
          <w:rFonts w:ascii="Times New Roman" w:hAnsi="Times New Roman" w:cs="Times New Roman"/>
          <w:sz w:val="24"/>
          <w:szCs w:val="24"/>
        </w:rPr>
      </w:pPr>
      <w:r>
        <w:rPr>
          <w:rFonts w:ascii="Times New Roman" w:hAnsi="Times New Roman" w:cs="Times New Roman"/>
          <w:sz w:val="24"/>
          <w:szCs w:val="24"/>
        </w:rPr>
        <w:t>Ovaj Pravilnik, kao i sve njegove izmjene i dopune, objavit će se na mrežnoj stranici škole i EOJN.</w:t>
      </w:r>
    </w:p>
    <w:p w14:paraId="6B57F6A8">
      <w:pPr>
        <w:spacing w:after="0"/>
        <w:jc w:val="both"/>
        <w:rPr>
          <w:rFonts w:ascii="Times New Roman" w:hAnsi="Times New Roman" w:cs="Times New Roman"/>
          <w:sz w:val="24"/>
          <w:szCs w:val="24"/>
        </w:rPr>
      </w:pPr>
    </w:p>
    <w:p w14:paraId="35B6FC51">
      <w:pPr>
        <w:spacing w:after="0"/>
        <w:jc w:val="center"/>
        <w:rPr>
          <w:rFonts w:ascii="Times New Roman" w:hAnsi="Times New Roman" w:cs="Times New Roman"/>
          <w:sz w:val="24"/>
          <w:szCs w:val="24"/>
        </w:rPr>
      </w:pPr>
      <w:r>
        <w:rPr>
          <w:rFonts w:ascii="Times New Roman" w:hAnsi="Times New Roman" w:cs="Times New Roman"/>
          <w:b/>
          <w:sz w:val="24"/>
          <w:szCs w:val="24"/>
        </w:rPr>
        <w:t>Članak 37.</w:t>
      </w:r>
    </w:p>
    <w:p w14:paraId="47FA7063">
      <w:pPr>
        <w:pStyle w:val="10"/>
        <w:numPr>
          <w:ilvl w:val="0"/>
          <w:numId w:val="3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Ovaj Pravilnik stupa na snagu osmoga dana od dana objave na oglasnoj ploči škole. </w:t>
      </w:r>
    </w:p>
    <w:p w14:paraId="6DB6724F">
      <w:pPr>
        <w:pStyle w:val="10"/>
        <w:numPr>
          <w:ilvl w:val="0"/>
          <w:numId w:val="36"/>
        </w:numPr>
        <w:spacing w:after="0"/>
        <w:ind w:left="426" w:hanging="426"/>
        <w:jc w:val="both"/>
        <w:rPr>
          <w:rFonts w:ascii="Times New Roman" w:hAnsi="Times New Roman" w:cs="Times New Roman"/>
          <w:sz w:val="24"/>
          <w:szCs w:val="24"/>
        </w:rPr>
      </w:pPr>
      <w:bookmarkStart w:id="4" w:name="_Hlk232863387"/>
      <w:r>
        <w:rPr>
          <w:rFonts w:ascii="Times New Roman" w:hAnsi="Times New Roman" w:cs="Times New Roman"/>
          <w:sz w:val="24"/>
          <w:szCs w:val="24"/>
        </w:rPr>
        <w:t>Odredbe ovoga Pravilnika koje se odnose na vrijednosne pragove jednostavne nabave i provedbu postupaka putem modula jednostavne nabave u EOJN primjenjuju se od 1. rujna 2026. godine.</w:t>
      </w:r>
    </w:p>
    <w:bookmarkEnd w:id="4"/>
    <w:p w14:paraId="0B4C3391">
      <w:pPr>
        <w:pStyle w:val="10"/>
        <w:numPr>
          <w:ilvl w:val="0"/>
          <w:numId w:val="3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Postupci jednostavne nabave započeti prije primjene ovoga Pravilnika dovršit će se prema odredbama Pravilnika o provedbi postupaka jednostavne nabave (</w:t>
      </w:r>
      <w:bookmarkStart w:id="5" w:name="_Hlk243914030"/>
      <w:r>
        <w:rPr>
          <w:rFonts w:ascii="Times New Roman" w:hAnsi="Times New Roman" w:cs="Times New Roman"/>
          <w:sz w:val="24"/>
          <w:szCs w:val="24"/>
        </w:rPr>
        <w:t>KLASA:</w:t>
      </w:r>
      <w:bookmarkStart w:id="6" w:name="_Hlk243914074"/>
      <w:r>
        <w:rPr>
          <w:rFonts w:ascii="Times New Roman" w:hAnsi="Times New Roman" w:cs="Times New Roman"/>
          <w:sz w:val="24"/>
          <w:szCs w:val="24"/>
        </w:rPr>
        <w:t>011-03/23-02/3</w:t>
      </w:r>
      <w:bookmarkEnd w:id="6"/>
      <w:r>
        <w:rPr>
          <w:rFonts w:ascii="Times New Roman" w:hAnsi="Times New Roman" w:cs="Times New Roman"/>
          <w:sz w:val="24"/>
          <w:szCs w:val="24"/>
        </w:rPr>
        <w:t xml:space="preserve">, URBROJ: </w:t>
      </w:r>
      <w:bookmarkStart w:id="7" w:name="_Hlk243914088"/>
      <w:r>
        <w:rPr>
          <w:rFonts w:ascii="Times New Roman" w:hAnsi="Times New Roman" w:cs="Times New Roman"/>
          <w:sz w:val="24"/>
          <w:szCs w:val="24"/>
        </w:rPr>
        <w:t>251-192-01-23-1</w:t>
      </w:r>
      <w:bookmarkEnd w:id="7"/>
      <w:r>
        <w:rPr>
          <w:rFonts w:ascii="Times New Roman" w:hAnsi="Times New Roman" w:cs="Times New Roman"/>
          <w:sz w:val="24"/>
          <w:szCs w:val="24"/>
        </w:rPr>
        <w:t xml:space="preserve"> od 3.10.2023. godine.)</w:t>
      </w:r>
    </w:p>
    <w:bookmarkEnd w:id="5"/>
    <w:p w14:paraId="76D4E02E">
      <w:pPr>
        <w:pStyle w:val="10"/>
        <w:numPr>
          <w:ilvl w:val="0"/>
          <w:numId w:val="3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Danom stupanja na snagu ovoga Pravilnika, prestaje važiti Pravilnik o provedbi postupaka jednostavne nabave  (KLASA: 011-03/23-02/3, URBROJ: 251-192-01-23-1 od 3.10.2023.</w:t>
      </w:r>
    </w:p>
    <w:p w14:paraId="1A289514">
      <w:pPr>
        <w:pStyle w:val="10"/>
        <w:spacing w:after="0"/>
        <w:ind w:left="426"/>
        <w:jc w:val="both"/>
        <w:rPr>
          <w:rFonts w:ascii="Times New Roman" w:hAnsi="Times New Roman" w:cs="Times New Roman"/>
          <w:sz w:val="24"/>
          <w:szCs w:val="24"/>
        </w:rPr>
      </w:pPr>
      <w:r>
        <w:rPr>
          <w:rFonts w:ascii="Times New Roman" w:hAnsi="Times New Roman" w:cs="Times New Roman"/>
          <w:sz w:val="24"/>
          <w:szCs w:val="24"/>
        </w:rPr>
        <w:t xml:space="preserve">godine.                                                                                                     </w:t>
      </w:r>
    </w:p>
    <w:p w14:paraId="70F087E1">
      <w:pPr>
        <w:spacing w:after="0"/>
        <w:jc w:val="both"/>
        <w:rPr>
          <w:rFonts w:ascii="Times New Roman" w:hAnsi="Times New Roman" w:cs="Times New Roman"/>
          <w:sz w:val="24"/>
          <w:szCs w:val="24"/>
        </w:rPr>
      </w:pPr>
    </w:p>
    <w:p w14:paraId="0898E6A6">
      <w:pPr>
        <w:spacing w:after="0"/>
        <w:jc w:val="both"/>
        <w:rPr>
          <w:rFonts w:ascii="Times New Roman" w:hAnsi="Times New Roman" w:cs="Times New Roman"/>
          <w:sz w:val="24"/>
          <w:szCs w:val="24"/>
        </w:rPr>
      </w:pPr>
      <w:r>
        <w:rPr>
          <w:rFonts w:ascii="Times New Roman" w:hAnsi="Times New Roman" w:cs="Times New Roman"/>
          <w:sz w:val="24"/>
          <w:szCs w:val="24"/>
        </w:rPr>
        <w:t>KLASA:</w:t>
      </w:r>
      <w:r>
        <w:t xml:space="preserve"> </w:t>
      </w:r>
      <w:r>
        <w:rPr>
          <w:rFonts w:ascii="Times New Roman" w:hAnsi="Times New Roman" w:cs="Times New Roman"/>
          <w:sz w:val="24"/>
          <w:szCs w:val="24"/>
        </w:rPr>
        <w:t>011-03/26-02/2</w:t>
      </w:r>
    </w:p>
    <w:p w14:paraId="6CD517F6">
      <w:pPr>
        <w:spacing w:after="0"/>
        <w:rPr>
          <w:rFonts w:ascii="Times New Roman" w:hAnsi="Times New Roman" w:cs="Times New Roman"/>
          <w:sz w:val="24"/>
          <w:szCs w:val="24"/>
        </w:rPr>
      </w:pPr>
      <w:r>
        <w:rPr>
          <w:rFonts w:ascii="Times New Roman" w:hAnsi="Times New Roman" w:cs="Times New Roman"/>
          <w:sz w:val="24"/>
          <w:szCs w:val="24"/>
        </w:rPr>
        <w:t>URBROJ: 251-192-01-26-1</w:t>
      </w:r>
    </w:p>
    <w:p w14:paraId="421924CE">
      <w:pPr>
        <w:spacing w:after="0"/>
        <w:rPr>
          <w:rFonts w:ascii="Times New Roman" w:hAnsi="Times New Roman" w:cs="Times New Roman"/>
          <w:sz w:val="24"/>
          <w:szCs w:val="24"/>
        </w:rPr>
      </w:pPr>
      <w:r>
        <w:rPr>
          <w:rFonts w:ascii="Times New Roman" w:hAnsi="Times New Roman" w:cs="Times New Roman"/>
          <w:sz w:val="24"/>
          <w:szCs w:val="24"/>
        </w:rPr>
        <w:t>Zagreb, 1.10. 2026. godine</w:t>
      </w:r>
    </w:p>
    <w:p w14:paraId="5F353EC8">
      <w:pPr>
        <w:spacing w:after="0"/>
        <w:rPr>
          <w:rFonts w:ascii="Times New Roman" w:hAnsi="Times New Roman" w:cs="Times New Roman"/>
          <w:sz w:val="24"/>
          <w:szCs w:val="24"/>
        </w:rPr>
      </w:pPr>
    </w:p>
    <w:p w14:paraId="58632E9F">
      <w:pPr>
        <w:spacing w:after="0"/>
        <w:rPr>
          <w:rFonts w:ascii="Times New Roman" w:hAnsi="Times New Roman" w:cs="Times New Roman"/>
          <w:sz w:val="24"/>
          <w:szCs w:val="24"/>
        </w:rPr>
      </w:pPr>
      <w:r>
        <w:rPr>
          <w:rFonts w:ascii="Times New Roman" w:hAnsi="Times New Roman" w:cs="Times New Roman"/>
          <w:sz w:val="24"/>
          <w:szCs w:val="24"/>
        </w:rPr>
        <w:t>Ovaj Pravilnik objavljen je na oglasnoj ploči škole dana 2.10.2026. godine te stupa na snagu dana  10.10.2026. godine.</w:t>
      </w:r>
    </w:p>
    <w:p w14:paraId="70006369">
      <w:pPr>
        <w:spacing w:after="0"/>
        <w:rPr>
          <w:rFonts w:ascii="Times New Roman" w:hAnsi="Times New Roman" w:cs="Times New Roman"/>
          <w:sz w:val="24"/>
          <w:szCs w:val="24"/>
        </w:rPr>
      </w:pPr>
    </w:p>
    <w:p w14:paraId="0D6151F4">
      <w:pPr>
        <w:pStyle w:val="10"/>
        <w:tabs>
          <w:tab w:val="left" w:pos="708"/>
          <w:tab w:val="left" w:pos="1416"/>
          <w:tab w:val="left" w:pos="2124"/>
          <w:tab w:val="left" w:pos="2832"/>
          <w:tab w:val="left" w:pos="3540"/>
          <w:tab w:val="left" w:pos="5730"/>
        </w:tabs>
        <w:spacing w:after="0"/>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Predsjednica Školskog odbora:</w:t>
      </w:r>
      <w:r>
        <w:rPr>
          <w:rFonts w:ascii="Times New Roman" w:hAnsi="Times New Roman" w:cs="Times New Roman"/>
          <w:sz w:val="24"/>
          <w:szCs w:val="24"/>
        </w:rPr>
        <w:tab/>
      </w:r>
      <w:r>
        <w:rPr>
          <w:rFonts w:ascii="Times New Roman" w:hAnsi="Times New Roman" w:cs="Times New Roman"/>
          <w:sz w:val="24"/>
          <w:szCs w:val="24"/>
        </w:rPr>
        <w:t xml:space="preserve">                              Ravnateljica:</w:t>
      </w:r>
    </w:p>
    <w:p w14:paraId="25EC8028">
      <w:pPr>
        <w:pStyle w:val="10"/>
        <w:tabs>
          <w:tab w:val="left" w:pos="7305"/>
        </w:tabs>
        <w:spacing w:after="0"/>
        <w:ind w:left="426"/>
        <w:jc w:val="both"/>
        <w:rPr>
          <w:rFonts w:ascii="Times New Roman" w:hAnsi="Times New Roman" w:cs="Times New Roman"/>
          <w:sz w:val="24"/>
          <w:szCs w:val="24"/>
        </w:rPr>
      </w:pPr>
      <w:r>
        <w:rPr>
          <w:rFonts w:ascii="Times New Roman" w:hAnsi="Times New Roman" w:cs="Times New Roman"/>
          <w:sz w:val="24"/>
          <w:szCs w:val="24"/>
        </w:rPr>
        <w:t xml:space="preserve">         Ivana Kušlan, dipl.teol.                            </w:t>
      </w:r>
      <w:r>
        <w:rPr>
          <w:rFonts w:ascii="Times New Roman" w:hAnsi="Times New Roman" w:cs="Times New Roman"/>
          <w:sz w:val="24"/>
          <w:szCs w:val="24"/>
        </w:rPr>
        <w:tab/>
      </w:r>
      <w:r>
        <w:rPr>
          <w:rFonts w:ascii="Times New Roman" w:hAnsi="Times New Roman" w:cs="Times New Roman"/>
          <w:sz w:val="24"/>
          <w:szCs w:val="24"/>
        </w:rPr>
        <w:t>Milena Laco, dipl.uč.</w:t>
      </w:r>
    </w:p>
    <w:sectPr>
      <w:footerReference r:id="rId5" w:type="default"/>
      <w:pgSz w:w="11906" w:h="16838"/>
      <w:pgMar w:top="1134" w:right="1134" w:bottom="1134" w:left="1134" w:header="709" w:footer="5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EE"/>
    <w:family w:val="swiss"/>
    <w:pitch w:val="default"/>
    <w:sig w:usb0="E0002EFF" w:usb1="C000785B" w:usb2="00000009" w:usb3="00000000" w:csb0="400001FF" w:csb1="FFFF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2A765">
    <w:pPr>
      <w:pStyle w:val="6"/>
      <w:jc w:val="right"/>
      <w:rPr>
        <w:rFonts w:cs="Arial"/>
        <w:sz w:val="18"/>
        <w:szCs w:val="18"/>
      </w:rPr>
    </w:pPr>
  </w:p>
  <w:p w14:paraId="618CD217">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420F"/>
    <w:multiLevelType w:val="multilevel"/>
    <w:tmpl w:val="0072420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3CC48B2"/>
    <w:multiLevelType w:val="multilevel"/>
    <w:tmpl w:val="03CC48B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3E80F57"/>
    <w:multiLevelType w:val="multilevel"/>
    <w:tmpl w:val="03E80F5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8D5793"/>
    <w:multiLevelType w:val="multilevel"/>
    <w:tmpl w:val="0E8D579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F212315"/>
    <w:multiLevelType w:val="multilevel"/>
    <w:tmpl w:val="0F21231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0FED1C62"/>
    <w:multiLevelType w:val="multilevel"/>
    <w:tmpl w:val="0FED1C6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357234A"/>
    <w:multiLevelType w:val="multilevel"/>
    <w:tmpl w:val="1357234A"/>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4497824"/>
    <w:multiLevelType w:val="multilevel"/>
    <w:tmpl w:val="1449782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5661569"/>
    <w:multiLevelType w:val="multilevel"/>
    <w:tmpl w:val="1566156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74E369A"/>
    <w:multiLevelType w:val="multilevel"/>
    <w:tmpl w:val="174E36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1E6E1DF6"/>
    <w:multiLevelType w:val="multilevel"/>
    <w:tmpl w:val="1E6E1DF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0E539E3"/>
    <w:multiLevelType w:val="multilevel"/>
    <w:tmpl w:val="20E539E3"/>
    <w:lvl w:ilvl="0" w:tentative="0">
      <w:start w:val="1"/>
      <w:numFmt w:val="decimal"/>
      <w:lvlText w:val="(%1)"/>
      <w:lvlJc w:val="left"/>
      <w:pPr>
        <w:ind w:left="720" w:hanging="360"/>
      </w:pPr>
      <w:rPr>
        <w:rFonts w:hint="default"/>
        <w:b w:val="0"/>
        <w:bCs/>
        <w:i w:val="0"/>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21242F0"/>
    <w:multiLevelType w:val="multilevel"/>
    <w:tmpl w:val="221242F0"/>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67761D8"/>
    <w:multiLevelType w:val="multilevel"/>
    <w:tmpl w:val="267761D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28271FC9"/>
    <w:multiLevelType w:val="multilevel"/>
    <w:tmpl w:val="28271F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9FB323C"/>
    <w:multiLevelType w:val="multilevel"/>
    <w:tmpl w:val="29FB323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5FE1A02"/>
    <w:multiLevelType w:val="multilevel"/>
    <w:tmpl w:val="35FE1A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7671AB4"/>
    <w:multiLevelType w:val="multilevel"/>
    <w:tmpl w:val="37671AB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38EC7349"/>
    <w:multiLevelType w:val="multilevel"/>
    <w:tmpl w:val="38EC734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C053B3D"/>
    <w:multiLevelType w:val="multilevel"/>
    <w:tmpl w:val="3C053B3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C203699"/>
    <w:multiLevelType w:val="multilevel"/>
    <w:tmpl w:val="4C2036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D935648"/>
    <w:multiLevelType w:val="multilevel"/>
    <w:tmpl w:val="4D93564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4DD07968"/>
    <w:multiLevelType w:val="multilevel"/>
    <w:tmpl w:val="4DD079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E45626E"/>
    <w:multiLevelType w:val="multilevel"/>
    <w:tmpl w:val="4E45626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44526C1"/>
    <w:multiLevelType w:val="multilevel"/>
    <w:tmpl w:val="544526C1"/>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5">
    <w:nsid w:val="557E09A4"/>
    <w:multiLevelType w:val="multilevel"/>
    <w:tmpl w:val="557E09A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5E552171"/>
    <w:multiLevelType w:val="multilevel"/>
    <w:tmpl w:val="5E55217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5EC445F3"/>
    <w:multiLevelType w:val="multilevel"/>
    <w:tmpl w:val="5EC445F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64927A55"/>
    <w:multiLevelType w:val="multilevel"/>
    <w:tmpl w:val="64927A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64E85406"/>
    <w:multiLevelType w:val="multilevel"/>
    <w:tmpl w:val="64E8540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65D74603"/>
    <w:multiLevelType w:val="multilevel"/>
    <w:tmpl w:val="65D74603"/>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6C5831E1"/>
    <w:multiLevelType w:val="multilevel"/>
    <w:tmpl w:val="6C5831E1"/>
    <w:lvl w:ilvl="0" w:tentative="0">
      <w:start w:val="1"/>
      <w:numFmt w:val="decimal"/>
      <w:lvlText w:val="(%1)"/>
      <w:lvlJc w:val="left"/>
      <w:pPr>
        <w:ind w:left="720" w:hanging="360"/>
      </w:pPr>
      <w:rPr>
        <w:rFonts w:hint="default"/>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74B74F43"/>
    <w:multiLevelType w:val="multilevel"/>
    <w:tmpl w:val="74B74F43"/>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74B87628"/>
    <w:multiLevelType w:val="multilevel"/>
    <w:tmpl w:val="74B876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781D3F6D"/>
    <w:multiLevelType w:val="multilevel"/>
    <w:tmpl w:val="781D3F6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7912095A"/>
    <w:multiLevelType w:val="multilevel"/>
    <w:tmpl w:val="791209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2"/>
  </w:num>
  <w:num w:numId="2">
    <w:abstractNumId w:val="32"/>
  </w:num>
  <w:num w:numId="3">
    <w:abstractNumId w:val="1"/>
  </w:num>
  <w:num w:numId="4">
    <w:abstractNumId w:val="15"/>
  </w:num>
  <w:num w:numId="5">
    <w:abstractNumId w:val="21"/>
  </w:num>
  <w:num w:numId="6">
    <w:abstractNumId w:val="22"/>
  </w:num>
  <w:num w:numId="7">
    <w:abstractNumId w:val="25"/>
  </w:num>
  <w:num w:numId="8">
    <w:abstractNumId w:val="7"/>
  </w:num>
  <w:num w:numId="9">
    <w:abstractNumId w:val="10"/>
  </w:num>
  <w:num w:numId="10">
    <w:abstractNumId w:val="5"/>
  </w:num>
  <w:num w:numId="11">
    <w:abstractNumId w:val="29"/>
  </w:num>
  <w:num w:numId="12">
    <w:abstractNumId w:val="13"/>
  </w:num>
  <w:num w:numId="13">
    <w:abstractNumId w:val="24"/>
  </w:num>
  <w:num w:numId="14">
    <w:abstractNumId w:val="20"/>
  </w:num>
  <w:num w:numId="15">
    <w:abstractNumId w:val="2"/>
  </w:num>
  <w:num w:numId="16">
    <w:abstractNumId w:val="8"/>
  </w:num>
  <w:num w:numId="17">
    <w:abstractNumId w:val="0"/>
  </w:num>
  <w:num w:numId="18">
    <w:abstractNumId w:val="19"/>
  </w:num>
  <w:num w:numId="19">
    <w:abstractNumId w:val="23"/>
  </w:num>
  <w:num w:numId="20">
    <w:abstractNumId w:val="17"/>
  </w:num>
  <w:num w:numId="21">
    <w:abstractNumId w:val="18"/>
  </w:num>
  <w:num w:numId="22">
    <w:abstractNumId w:val="31"/>
  </w:num>
  <w:num w:numId="23">
    <w:abstractNumId w:val="3"/>
  </w:num>
  <w:num w:numId="24">
    <w:abstractNumId w:val="30"/>
  </w:num>
  <w:num w:numId="25">
    <w:abstractNumId w:val="28"/>
  </w:num>
  <w:num w:numId="26">
    <w:abstractNumId w:val="4"/>
  </w:num>
  <w:num w:numId="27">
    <w:abstractNumId w:val="9"/>
  </w:num>
  <w:num w:numId="28">
    <w:abstractNumId w:val="33"/>
  </w:num>
  <w:num w:numId="29">
    <w:abstractNumId w:val="14"/>
  </w:num>
  <w:num w:numId="30">
    <w:abstractNumId w:val="35"/>
  </w:num>
  <w:num w:numId="31">
    <w:abstractNumId w:val="26"/>
  </w:num>
  <w:num w:numId="32">
    <w:abstractNumId w:val="11"/>
  </w:num>
  <w:num w:numId="33">
    <w:abstractNumId w:val="34"/>
  </w:num>
  <w:num w:numId="34">
    <w:abstractNumId w:val="16"/>
  </w:num>
  <w:num w:numId="35">
    <w:abstractNumId w:val="6"/>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A6"/>
    <w:rsid w:val="00042FF1"/>
    <w:rsid w:val="000C3CE3"/>
    <w:rsid w:val="000E14F1"/>
    <w:rsid w:val="001308DA"/>
    <w:rsid w:val="00164BD5"/>
    <w:rsid w:val="001B52EB"/>
    <w:rsid w:val="001F66DE"/>
    <w:rsid w:val="002359D9"/>
    <w:rsid w:val="002F3E68"/>
    <w:rsid w:val="0039457B"/>
    <w:rsid w:val="004C69FC"/>
    <w:rsid w:val="004F125D"/>
    <w:rsid w:val="005866A9"/>
    <w:rsid w:val="005E44E9"/>
    <w:rsid w:val="006220FC"/>
    <w:rsid w:val="006550E9"/>
    <w:rsid w:val="006B361B"/>
    <w:rsid w:val="00716137"/>
    <w:rsid w:val="0076057F"/>
    <w:rsid w:val="00794A98"/>
    <w:rsid w:val="007B5974"/>
    <w:rsid w:val="008814CA"/>
    <w:rsid w:val="00895F84"/>
    <w:rsid w:val="008C47A6"/>
    <w:rsid w:val="0099343E"/>
    <w:rsid w:val="009C4550"/>
    <w:rsid w:val="00A217F6"/>
    <w:rsid w:val="00AC7D45"/>
    <w:rsid w:val="00D10BCC"/>
    <w:rsid w:val="00D4484F"/>
    <w:rsid w:val="00DA2CBF"/>
    <w:rsid w:val="00DA764C"/>
    <w:rsid w:val="00E720EF"/>
    <w:rsid w:val="00F51530"/>
    <w:rsid w:val="00F65C94"/>
    <w:rsid w:val="187F22BC"/>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imes New Roman" w:cs="Calibri"/>
      <w:sz w:val="22"/>
      <w:szCs w:val="22"/>
      <w:lang w:val="hr-HR" w:eastAsia="hr-HR" w:bidi="ar-SA"/>
    </w:rPr>
  </w:style>
  <w:style w:type="paragraph" w:styleId="2">
    <w:name w:val="heading 1"/>
    <w:basedOn w:val="1"/>
    <w:next w:val="1"/>
    <w:link w:val="8"/>
    <w:qFormat/>
    <w:uiPriority w:val="9"/>
    <w:pPr>
      <w:keepNext/>
      <w:keepLines/>
      <w:spacing w:before="480" w:after="0"/>
      <w:outlineLvl w:val="0"/>
    </w:pPr>
    <w:rPr>
      <w:rFonts w:cs="Times New Roman"/>
      <w:b/>
      <w:bCs/>
      <w:color w:val="000000"/>
      <w:sz w:val="32"/>
      <w:szCs w:val="28"/>
    </w:rPr>
  </w:style>
  <w:style w:type="paragraph" w:styleId="3">
    <w:name w:val="heading 3"/>
    <w:basedOn w:val="1"/>
    <w:next w:val="1"/>
    <w:link w:val="11"/>
    <w:semiHidden/>
    <w:unhideWhenUsed/>
    <w:qFormat/>
    <w:uiPriority w:val="9"/>
    <w:pPr>
      <w:keepNext/>
      <w:keepLines/>
      <w:spacing w:before="40" w:after="0"/>
      <w:outlineLvl w:val="2"/>
    </w:pPr>
    <w:rPr>
      <w:rFonts w:asciiTheme="majorHAnsi" w:hAnsiTheme="majorHAnsi" w:eastAsiaTheme="majorEastAsia" w:cstheme="majorBidi"/>
      <w:color w:val="203864" w:themeColor="accent1" w:themeShade="80"/>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9"/>
    <w:qFormat/>
    <w:uiPriority w:val="0"/>
    <w:pPr>
      <w:tabs>
        <w:tab w:val="center" w:pos="4536"/>
        <w:tab w:val="right" w:pos="9072"/>
      </w:tabs>
    </w:p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cs="Times New Roman"/>
      <w:sz w:val="24"/>
      <w:szCs w:val="24"/>
    </w:rPr>
  </w:style>
  <w:style w:type="character" w:customStyle="1" w:styleId="8">
    <w:name w:val="Heading 1 Char"/>
    <w:basedOn w:val="4"/>
    <w:link w:val="2"/>
    <w:qFormat/>
    <w:uiPriority w:val="9"/>
    <w:rPr>
      <w:rFonts w:ascii="Arial" w:hAnsi="Arial" w:eastAsia="Times New Roman" w:cs="Times New Roman"/>
      <w:b/>
      <w:bCs/>
      <w:color w:val="000000"/>
      <w:sz w:val="32"/>
      <w:szCs w:val="28"/>
      <w:lang w:eastAsia="hr-HR"/>
    </w:rPr>
  </w:style>
  <w:style w:type="character" w:customStyle="1" w:styleId="9">
    <w:name w:val="Footer Char"/>
    <w:basedOn w:val="4"/>
    <w:link w:val="6"/>
    <w:qFormat/>
    <w:uiPriority w:val="0"/>
    <w:rPr>
      <w:rFonts w:ascii="Arial" w:hAnsi="Arial" w:eastAsia="Times New Roman" w:cs="Calibri"/>
      <w:lang w:eastAsia="hr-HR"/>
    </w:rPr>
  </w:style>
  <w:style w:type="paragraph" w:styleId="10">
    <w:name w:val="List Paragraph"/>
    <w:basedOn w:val="1"/>
    <w:qFormat/>
    <w:uiPriority w:val="34"/>
    <w:pPr>
      <w:ind w:left="720"/>
      <w:contextualSpacing/>
    </w:pPr>
  </w:style>
  <w:style w:type="character" w:customStyle="1" w:styleId="11">
    <w:name w:val="Heading 3 Char"/>
    <w:basedOn w:val="4"/>
    <w:link w:val="3"/>
    <w:semiHidden/>
    <w:qFormat/>
    <w:uiPriority w:val="9"/>
    <w:rPr>
      <w:rFonts w:asciiTheme="majorHAnsi" w:hAnsiTheme="majorHAnsi" w:eastAsiaTheme="majorEastAsia" w:cstheme="majorBidi"/>
      <w:color w:val="203864" w:themeColor="accent1" w:themeShade="80"/>
      <w:sz w:val="24"/>
      <w:szCs w:val="24"/>
      <w:lang w:eastAsia="hr-HR"/>
    </w:rPr>
  </w:style>
  <w:style w:type="paragraph" w:customStyle="1" w:styleId="12">
    <w:name w:val="isselectedend"/>
    <w:basedOn w:val="1"/>
    <w:qFormat/>
    <w:uiPriority w:val="0"/>
    <w:pPr>
      <w:spacing w:before="100" w:beforeAutospacing="1" w:after="100" w:afterAutospacing="1" w:line="240" w:lineRule="auto"/>
    </w:pPr>
    <w:rPr>
      <w:rFonts w:ascii="Times New Roman" w:hAnsi="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768BA-B555-4C70-8AE3-FEC007EB55D5}">
  <ds:schemaRefs/>
</ds:datastoreItem>
</file>

<file path=docProps/app.xml><?xml version="1.0" encoding="utf-8"?>
<Properties xmlns="http://schemas.openxmlformats.org/officeDocument/2006/extended-properties" xmlns:vt="http://schemas.openxmlformats.org/officeDocument/2006/docPropsVTypes">
  <Template>Normal</Template>
  <Pages>12</Pages>
  <Words>3438</Words>
  <Characters>20999</Characters>
  <Lines>175</Lines>
  <Paragraphs>49</Paragraphs>
  <TotalTime>25</TotalTime>
  <ScaleCrop>false</ScaleCrop>
  <LinksUpToDate>false</LinksUpToDate>
  <CharactersWithSpaces>24428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2026-06-22T08:52:00Z</dcterms:created>
  <dc:creator>Kruno</dc:creator>
  <cp:lastModifiedBy>Korisnik</cp:lastModifiedBy>
  <dcterms:modified xsi:type="dcterms:W3CDTF">2026-10-29T11:29:07Z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A45D6A6264824217AEF2B55D16EDAE59_13</vt:lpwstr>
  </property>
</Properties>
</file>